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230093" w:rsidRDefault="00486511" w:rsidP="00A10F5E">
      <w:pPr>
        <w:spacing w:after="0" w:line="240" w:lineRule="auto"/>
        <w:ind w:firstLine="708"/>
        <w:jc w:val="right"/>
        <w:rPr>
          <w:rFonts w:ascii="Times New Roman" w:hAnsi="Times New Roman" w:cs="Times New Roman"/>
          <w:b/>
        </w:rPr>
      </w:pPr>
      <w:r w:rsidRPr="00230093">
        <w:rPr>
          <w:rFonts w:ascii="Times New Roman" w:hAnsi="Times New Roman" w:cs="Times New Roman"/>
          <w:b/>
        </w:rPr>
        <w:t>Приложение № 3а</w:t>
      </w:r>
    </w:p>
    <w:p w:rsidR="00230093" w:rsidRPr="00B00A03" w:rsidRDefault="00230093" w:rsidP="00A10F5E">
      <w:pPr>
        <w:spacing w:after="0" w:line="240" w:lineRule="auto"/>
        <w:jc w:val="center"/>
        <w:rPr>
          <w:rFonts w:ascii="Times New Roman" w:hAnsi="Times New Roman" w:cs="Times New Roman"/>
          <w:b/>
          <w:sz w:val="32"/>
          <w:szCs w:val="32"/>
          <w:lang w:eastAsia="bg-BG"/>
        </w:rPr>
      </w:pPr>
      <w:r w:rsidRPr="00B00A03">
        <w:rPr>
          <w:rFonts w:ascii="Times New Roman" w:hAnsi="Times New Roman" w:cs="Times New Roman"/>
          <w:b/>
          <w:sz w:val="32"/>
          <w:szCs w:val="32"/>
          <w:lang w:eastAsia="bg-BG"/>
        </w:rPr>
        <w:t xml:space="preserve">Ключови индикатори за изпълнение на политиките и целеви стойности </w:t>
      </w:r>
      <w:r w:rsidR="004D60F5" w:rsidRPr="00B00A03">
        <w:rPr>
          <w:rFonts w:ascii="Times New Roman" w:hAnsi="Times New Roman" w:cs="Times New Roman"/>
          <w:b/>
          <w:sz w:val="32"/>
          <w:szCs w:val="32"/>
          <w:lang w:eastAsia="bg-BG"/>
        </w:rPr>
        <w:t>за периода 20</w:t>
      </w:r>
      <w:r w:rsidR="002F026B">
        <w:rPr>
          <w:rFonts w:ascii="Times New Roman" w:hAnsi="Times New Roman" w:cs="Times New Roman"/>
          <w:b/>
          <w:sz w:val="32"/>
          <w:szCs w:val="32"/>
          <w:lang w:eastAsia="bg-BG"/>
        </w:rPr>
        <w:t>2</w:t>
      </w:r>
      <w:r w:rsidR="00F42F0B">
        <w:rPr>
          <w:rFonts w:ascii="Times New Roman" w:hAnsi="Times New Roman" w:cs="Times New Roman"/>
          <w:b/>
          <w:sz w:val="32"/>
          <w:szCs w:val="32"/>
          <w:lang w:val="en-US" w:eastAsia="bg-BG"/>
        </w:rPr>
        <w:t>2</w:t>
      </w:r>
      <w:r w:rsidR="004D60F5" w:rsidRPr="00B00A03">
        <w:rPr>
          <w:rFonts w:ascii="Times New Roman" w:hAnsi="Times New Roman" w:cs="Times New Roman"/>
          <w:b/>
          <w:sz w:val="32"/>
          <w:szCs w:val="32"/>
          <w:lang w:eastAsia="bg-BG"/>
        </w:rPr>
        <w:t>-202</w:t>
      </w:r>
      <w:r w:rsidR="00F42F0B">
        <w:rPr>
          <w:rFonts w:ascii="Times New Roman" w:hAnsi="Times New Roman" w:cs="Times New Roman"/>
          <w:b/>
          <w:sz w:val="32"/>
          <w:szCs w:val="32"/>
          <w:lang w:val="en-US" w:eastAsia="bg-BG"/>
        </w:rPr>
        <w:t>4</w:t>
      </w:r>
      <w:r w:rsidRPr="00B00A03">
        <w:rPr>
          <w:rFonts w:ascii="Times New Roman" w:hAnsi="Times New Roman" w:cs="Times New Roman"/>
          <w:b/>
          <w:sz w:val="32"/>
          <w:szCs w:val="32"/>
          <w:lang w:eastAsia="bg-BG"/>
        </w:rPr>
        <w:t xml:space="preserve"> г. </w:t>
      </w:r>
    </w:p>
    <w:p w:rsidR="00230093" w:rsidRPr="00B00A03" w:rsidRDefault="00230093" w:rsidP="00A10F5E">
      <w:pPr>
        <w:pStyle w:val="Heading1"/>
        <w:ind w:firstLine="0"/>
        <w:jc w:val="center"/>
        <w:rPr>
          <w:caps w:val="0"/>
          <w:sz w:val="32"/>
          <w:szCs w:val="32"/>
        </w:rPr>
      </w:pPr>
      <w:r w:rsidRPr="00B00A03">
        <w:rPr>
          <w:caps w:val="0"/>
          <w:sz w:val="32"/>
          <w:szCs w:val="32"/>
        </w:rPr>
        <w:t xml:space="preserve">на </w:t>
      </w:r>
      <w:r w:rsidR="00032557" w:rsidRPr="00B00A03">
        <w:rPr>
          <w:caps w:val="0"/>
          <w:sz w:val="32"/>
          <w:szCs w:val="32"/>
        </w:rPr>
        <w:t>Министерство на регионалното развитие и благоустройството</w:t>
      </w:r>
    </w:p>
    <w:p w:rsidR="00230093" w:rsidRPr="00410F7A" w:rsidRDefault="00230093" w:rsidP="00A10F5E">
      <w:pPr>
        <w:spacing w:after="0" w:line="240" w:lineRule="auto"/>
        <w:ind w:firstLine="708"/>
        <w:jc w:val="both"/>
        <w:rPr>
          <w:rFonts w:ascii="Times New Roman" w:hAnsi="Times New Roman" w:cs="Times New Roman"/>
        </w:rPr>
      </w:pPr>
    </w:p>
    <w:p w:rsidR="006B2804" w:rsidRDefault="006B2804" w:rsidP="00A10F5E">
      <w:pPr>
        <w:keepNext/>
        <w:snapToGrid w:val="0"/>
        <w:spacing w:after="0" w:line="240" w:lineRule="auto"/>
        <w:ind w:firstLine="567"/>
        <w:jc w:val="both"/>
        <w:outlineLvl w:val="0"/>
        <w:rPr>
          <w:rFonts w:ascii="Times New Roman" w:hAnsi="Times New Roman" w:cs="Times New Roman"/>
          <w:b/>
          <w:i/>
          <w:color w:val="0000CC"/>
        </w:rPr>
      </w:pPr>
      <w:r w:rsidRPr="0025354B">
        <w:rPr>
          <w:rFonts w:ascii="Times New Roman" w:eastAsia="Batang" w:hAnsi="Times New Roman" w:cs="Times New Roman"/>
          <w:b/>
          <w:i/>
          <w:color w:val="0000CC"/>
          <w:lang w:val="ru-RU" w:eastAsia="ko-KR"/>
        </w:rPr>
        <w:t xml:space="preserve">2100.01.00  </w:t>
      </w:r>
      <w:r w:rsidR="00740960" w:rsidRPr="0025354B">
        <w:rPr>
          <w:rFonts w:ascii="Times New Roman" w:eastAsia="Batang" w:hAnsi="Times New Roman" w:cs="Times New Roman"/>
          <w:b/>
          <w:i/>
          <w:color w:val="0000CC"/>
          <w:lang w:eastAsia="ko-KR"/>
        </w:rPr>
        <w:t>„</w:t>
      </w:r>
      <w:r w:rsidRPr="0025354B">
        <w:rPr>
          <w:rFonts w:ascii="Times New Roman" w:eastAsia="Batang" w:hAnsi="Times New Roman" w:cs="Times New Roman"/>
          <w:b/>
          <w:i/>
          <w:color w:val="0000CC"/>
          <w:lang w:val="ru-RU" w:eastAsia="ko-KR"/>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740960" w:rsidRPr="0025354B">
        <w:rPr>
          <w:rFonts w:ascii="Times New Roman" w:hAnsi="Times New Roman" w:cs="Times New Roman"/>
          <w:b/>
          <w:i/>
          <w:color w:val="0000CC"/>
        </w:rPr>
        <w:t>“</w:t>
      </w:r>
    </w:p>
    <w:p w:rsidR="00B57C85" w:rsidRPr="0025354B" w:rsidRDefault="00B57C85" w:rsidP="00A10F5E">
      <w:pPr>
        <w:keepNext/>
        <w:snapToGrid w:val="0"/>
        <w:spacing w:after="0" w:line="240" w:lineRule="auto"/>
        <w:ind w:firstLine="567"/>
        <w:jc w:val="both"/>
        <w:outlineLvl w:val="0"/>
        <w:rPr>
          <w:rFonts w:ascii="Times New Roman" w:eastAsia="Batang" w:hAnsi="Times New Roman" w:cs="Times New Roman"/>
          <w:b/>
          <w:i/>
          <w:color w:val="0000CC"/>
          <w:lang w:val="en-US" w:eastAsia="ko-KR"/>
        </w:rPr>
      </w:pPr>
    </w:p>
    <w:p w:rsidR="006B2804" w:rsidRPr="0025354B" w:rsidRDefault="00091C5B"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Кратко описание на обхвата на област</w:t>
      </w:r>
      <w:r w:rsidR="00766A55" w:rsidRPr="0025354B">
        <w:rPr>
          <w:rFonts w:ascii="Times New Roman" w:hAnsi="Times New Roman" w:cs="Times New Roman"/>
          <w:b/>
          <w:i/>
          <w:color w:val="0000CC"/>
        </w:rPr>
        <w:t>та на политиката</w:t>
      </w:r>
      <w:r w:rsidRPr="0025354B">
        <w:rPr>
          <w:rFonts w:ascii="Times New Roman" w:hAnsi="Times New Roman" w:cs="Times New Roman"/>
          <w:b/>
          <w:i/>
          <w:color w:val="0000CC"/>
        </w:rPr>
        <w:t>, за ко</w:t>
      </w:r>
      <w:r w:rsidR="00766A55" w:rsidRPr="0025354B">
        <w:rPr>
          <w:rFonts w:ascii="Times New Roman" w:hAnsi="Times New Roman" w:cs="Times New Roman"/>
          <w:b/>
          <w:i/>
          <w:color w:val="0000CC"/>
        </w:rPr>
        <w:t>ято</w:t>
      </w:r>
      <w:r w:rsidRPr="0025354B">
        <w:rPr>
          <w:rFonts w:ascii="Times New Roman" w:hAnsi="Times New Roman" w:cs="Times New Roman"/>
          <w:b/>
          <w:i/>
          <w:color w:val="0000CC"/>
        </w:rPr>
        <w:t xml:space="preserve"> ПРБ отговаря</w:t>
      </w:r>
    </w:p>
    <w:p w:rsidR="005B4591" w:rsidRPr="0025354B" w:rsidRDefault="005B4591" w:rsidP="00A10F5E">
      <w:pPr>
        <w:tabs>
          <w:tab w:val="left" w:pos="851"/>
        </w:tabs>
        <w:spacing w:after="0" w:line="240" w:lineRule="auto"/>
        <w:ind w:firstLine="567"/>
        <w:jc w:val="both"/>
        <w:rPr>
          <w:rFonts w:ascii="Calibri" w:eastAsia="Calibri" w:hAnsi="Calibri" w:cs="Times New Roman"/>
          <w:lang w:val="en-US"/>
        </w:rPr>
      </w:pPr>
      <w:r w:rsidRPr="0025354B">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w:t>
      </w:r>
      <w:r w:rsidRPr="0025354B">
        <w:rPr>
          <w:rFonts w:ascii="Times New Roman" w:eastAsia="Calibri" w:hAnsi="Times New Roman" w:cs="Times New Roman"/>
        </w:rPr>
        <w:t xml:space="preserve">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r w:rsidRPr="0025354B">
        <w:rPr>
          <w:rFonts w:ascii="Times New Roman" w:eastAsia="Times New Roman" w:hAnsi="Times New Roman" w:cs="Times New Roman"/>
          <w:lang w:eastAsia="bg-BG"/>
        </w:rPr>
        <w:t xml:space="preserve">  Ключовите индикатори за изпълнение на политиката са в съответствие с целите на Националната програма за развитие: БЪЛГАРИЯ 2030 и в този смисъл не е необходимо да бъдат актуализирани.</w:t>
      </w:r>
    </w:p>
    <w:p w:rsidR="005B4591"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Calibri" w:hAnsi="Times New Roman" w:cs="Times New Roman"/>
        </w:rPr>
        <w:t>Желаният резултат ще се постигне чрез интегрирани действия в различни области на развитие, насочени в един фокус – сближаване.</w:t>
      </w:r>
    </w:p>
    <w:p w:rsidR="005B4591"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Calibri" w:hAnsi="Times New Roman" w:cs="Times New Roman"/>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C4D1B"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Times New Roman" w:hAnsi="Times New Roman" w:cs="Times New Roman"/>
          <w:lang w:eastAsia="bg-BG"/>
        </w:rPr>
        <w:t>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за периода 2017-2021,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w:t>
      </w:r>
      <w:r w:rsidRPr="0025354B">
        <w:rPr>
          <w:rFonts w:ascii="Times New Roman" w:eastAsia="Calibri" w:hAnsi="Times New Roman" w:cs="Times New Roman"/>
        </w:rPr>
        <w:t xml:space="preserve"> </w:t>
      </w:r>
    </w:p>
    <w:p w:rsidR="00A5027A"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Times New Roman" w:hAnsi="Times New Roman" w:cs="Times New Roman"/>
          <w:i/>
          <w:lang w:eastAsia="bg-BG"/>
        </w:rPr>
        <w:t>Главна дирекция „Стратегическо планиране и програми за регионално развитие“</w:t>
      </w:r>
      <w:r w:rsidRPr="0025354B">
        <w:rPr>
          <w:rFonts w:ascii="Times New Roman" w:eastAsia="Times New Roman" w:hAnsi="Times New Roman" w:cs="Times New Roman"/>
          <w:lang w:eastAsia="bg-BG"/>
        </w:rPr>
        <w:t xml:space="preserve"> </w:t>
      </w:r>
    </w:p>
    <w:p w:rsidR="00F265BF" w:rsidRPr="00F265BF" w:rsidRDefault="00F265BF" w:rsidP="00A10F5E">
      <w:pPr>
        <w:tabs>
          <w:tab w:val="left" w:pos="851"/>
        </w:tabs>
        <w:spacing w:after="0" w:line="240" w:lineRule="auto"/>
        <w:ind w:firstLine="567"/>
        <w:jc w:val="both"/>
        <w:rPr>
          <w:rFonts w:ascii="Times New Roman" w:eastAsia="Calibri" w:hAnsi="Times New Roman" w:cs="Times New Roman"/>
        </w:rPr>
      </w:pPr>
      <w:r w:rsidRPr="00F265BF">
        <w:rPr>
          <w:rFonts w:ascii="Times New Roman" w:eastAsia="Calibri" w:hAnsi="Times New Roman" w:cs="Times New Roman"/>
        </w:rPr>
        <w:t>Главна дирекция „Стратегическо планиране и програми за регионално развитие“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Pr="00F265BF">
        <w:rPr>
          <w:rFonts w:ascii="Times New Roman" w:eastAsia="Calibri" w:hAnsi="Times New Roman" w:cs="Times New Roman"/>
          <w:lang w:val="en-US"/>
        </w:rPr>
        <w:t>,</w:t>
      </w:r>
      <w:r w:rsidRPr="00F265BF">
        <w:rPr>
          <w:rFonts w:ascii="Times New Roman" w:eastAsia="Calibri" w:hAnsi="Times New Roman" w:cs="Times New Roman"/>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Pr="00F265BF">
        <w:rPr>
          <w:rFonts w:ascii="Times New Roman" w:eastAsia="Calibri" w:hAnsi="Times New Roman" w:cs="Times New Roman"/>
          <w:lang w:val="en-US"/>
        </w:rPr>
        <w:t xml:space="preserve"> </w:t>
      </w:r>
      <w:r w:rsidRPr="00F265BF">
        <w:rPr>
          <w:rFonts w:ascii="Times New Roman" w:eastAsia="Calibri" w:hAnsi="Times New Roman" w:cs="Times New Roman"/>
        </w:rPr>
        <w:t xml:space="preserve">Развитието на политиката обхваща и: </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lang w:val="en-US"/>
        </w:rPr>
      </w:pPr>
      <w:r w:rsidRPr="00F265BF">
        <w:rPr>
          <w:rFonts w:ascii="Times New Roman" w:eastAsia="Calibri" w:hAnsi="Times New Roman" w:cs="Times New Roman"/>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rPr>
      </w:pPr>
      <w:r w:rsidRPr="00F265BF">
        <w:rPr>
          <w:rFonts w:ascii="Times New Roman" w:eastAsia="Calibri" w:hAnsi="Times New Roman" w:cs="Times New Roman"/>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rPr>
      </w:pPr>
      <w:r w:rsidRPr="00F265BF">
        <w:rPr>
          <w:rFonts w:ascii="Times New Roman" w:eastAsia="Calibri" w:hAnsi="Times New Roman" w:cs="Times New Roman"/>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rsidR="00AD3BB2" w:rsidRPr="00A5027A" w:rsidRDefault="00AD3BB2" w:rsidP="00A10F5E">
      <w:pPr>
        <w:pStyle w:val="ListParagraph"/>
        <w:tabs>
          <w:tab w:val="left" w:pos="851"/>
        </w:tabs>
        <w:spacing w:after="0" w:line="240" w:lineRule="auto"/>
        <w:ind w:left="0" w:firstLine="567"/>
        <w:jc w:val="both"/>
        <w:rPr>
          <w:rFonts w:ascii="Times New Roman" w:eastAsia="Times New Roman" w:hAnsi="Times New Roman" w:cs="Times New Roman"/>
          <w:lang w:eastAsia="bg-BG"/>
        </w:rPr>
      </w:pPr>
      <w:r w:rsidRPr="00A5027A">
        <w:rPr>
          <w:rFonts w:ascii="Times New Roman" w:eastAsia="Times New Roman" w:hAnsi="Times New Roman" w:cs="Times New Roman"/>
          <w:i/>
          <w:lang w:eastAsia="bg-BG"/>
        </w:rPr>
        <w:t>Дирекция „У</w:t>
      </w:r>
      <w:r w:rsidR="008C4D1B" w:rsidRPr="00A5027A">
        <w:rPr>
          <w:rFonts w:ascii="Times New Roman" w:eastAsia="Times New Roman" w:hAnsi="Times New Roman" w:cs="Times New Roman"/>
          <w:i/>
          <w:lang w:eastAsia="bg-BG"/>
        </w:rPr>
        <w:t>правление на териториалното сътрудничество</w:t>
      </w:r>
      <w:r w:rsidRPr="00A5027A">
        <w:rPr>
          <w:rFonts w:ascii="Times New Roman" w:eastAsia="Times New Roman" w:hAnsi="Times New Roman" w:cs="Times New Roman"/>
          <w:i/>
          <w:lang w:eastAsia="bg-BG"/>
        </w:rPr>
        <w:t>“</w:t>
      </w:r>
      <w:r w:rsidR="008C4D1B" w:rsidRPr="00A5027A">
        <w:rPr>
          <w:rFonts w:ascii="Times New Roman" w:eastAsia="Times New Roman" w:hAnsi="Times New Roman" w:cs="Times New Roman"/>
          <w:lang w:eastAsia="bg-BG"/>
        </w:rPr>
        <w:t xml:space="preserve"> участва в изпълнението на целите на политиката чрез гарантиране на:</w:t>
      </w:r>
    </w:p>
    <w:p w:rsidR="00AD3BB2" w:rsidRPr="0025354B" w:rsidRDefault="00AD3BB2" w:rsidP="00A10F5E">
      <w:pPr>
        <w:numPr>
          <w:ilvl w:val="0"/>
          <w:numId w:val="13"/>
        </w:numPr>
        <w:tabs>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rPr>
        <w:t>Устойчиво развитие на трансграничните региони в подкрепа на усилията за разширено европейско сътрудничество и интеграция;</w:t>
      </w:r>
    </w:p>
    <w:p w:rsidR="00AD3BB2" w:rsidRPr="0025354B" w:rsidRDefault="008C4D1B" w:rsidP="00A10F5E">
      <w:pPr>
        <w:numPr>
          <w:ilvl w:val="0"/>
          <w:numId w:val="13"/>
        </w:numPr>
        <w:tabs>
          <w:tab w:val="left" w:pos="426"/>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lang w:val="en-US"/>
        </w:rPr>
        <w:t xml:space="preserve"> </w:t>
      </w:r>
      <w:r w:rsidR="00AD3BB2" w:rsidRPr="0025354B">
        <w:rPr>
          <w:rFonts w:ascii="Times New Roman" w:hAnsi="Times New Roman" w:cs="Times New Roman"/>
        </w:rPr>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rsidR="00AD3BB2" w:rsidRPr="0025354B" w:rsidRDefault="008C4D1B" w:rsidP="00A10F5E">
      <w:pPr>
        <w:numPr>
          <w:ilvl w:val="0"/>
          <w:numId w:val="13"/>
        </w:numPr>
        <w:tabs>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lang w:val="en-US"/>
        </w:rPr>
        <w:t xml:space="preserve"> </w:t>
      </w:r>
      <w:r w:rsidR="00AD3BB2" w:rsidRPr="0025354B">
        <w:rPr>
          <w:rFonts w:ascii="Times New Roman" w:hAnsi="Times New Roman" w:cs="Times New Roman"/>
        </w:rPr>
        <w:t>Укрепване на капацитета на структурите по програмите за европейско териториално сътрудничество, в които Република България участва.</w:t>
      </w:r>
    </w:p>
    <w:p w:rsidR="00085F97" w:rsidRDefault="00912442"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i/>
        </w:rPr>
        <w:lastRenderedPageBreak/>
        <w:t>Дирекция „Жилищна политика“</w:t>
      </w:r>
      <w:r w:rsidRPr="0025354B">
        <w:rPr>
          <w:rFonts w:ascii="Times New Roman" w:hAnsi="Times New Roman" w:cs="Times New Roman"/>
        </w:rPr>
        <w:t xml:space="preserve"> има отговорност при изпълнението на Плана за действие за изпълнение на Националната стратегия на Република България за интегриране на ромите 2012 – 2020 г. и допринася за постигане целите на политиката чрез с</w:t>
      </w:r>
      <w:r w:rsidR="00085F97" w:rsidRPr="0025354B">
        <w:rPr>
          <w:rFonts w:ascii="Times New Roman" w:hAnsi="Times New Roman" w:cs="Times New Roman"/>
        </w:rPr>
        <w:t xml:space="preserve">ъздаване на балансирана, съразмерно развиваща се и устойчива жилищна система чрез осигуряване на условия за достъп до качествени жилища </w:t>
      </w:r>
      <w:r w:rsidR="00085F97" w:rsidRPr="0025354B">
        <w:rPr>
          <w:rFonts w:ascii="Times New Roman" w:hAnsi="Times New Roman" w:cs="Times New Roman"/>
          <w:lang w:val="en-US"/>
        </w:rPr>
        <w:t>(</w:t>
      </w:r>
      <w:r w:rsidR="00085F97" w:rsidRPr="0025354B">
        <w:rPr>
          <w:rFonts w:ascii="Times New Roman" w:hAnsi="Times New Roman" w:cs="Times New Roman"/>
        </w:rPr>
        <w:t>собствени или наемни</w:t>
      </w:r>
      <w:r w:rsidR="00085F97" w:rsidRPr="0025354B">
        <w:rPr>
          <w:rFonts w:ascii="Times New Roman" w:hAnsi="Times New Roman" w:cs="Times New Roman"/>
          <w:lang w:val="en-US"/>
        </w:rPr>
        <w:t>)</w:t>
      </w:r>
      <w:r w:rsidR="00085F97" w:rsidRPr="0025354B">
        <w:rPr>
          <w:rFonts w:ascii="Times New Roman" w:hAnsi="Times New Roman" w:cs="Times New Roman"/>
        </w:rPr>
        <w:t>, които да задоволяват нуждите на българските граждани. Визията за обновяване на жилищния сграден фонд е сред основните приоритети, като има пряко отношение към аспектите и изискванията на устойчивото развитие.</w:t>
      </w:r>
      <w:r w:rsidRPr="0025354B">
        <w:rPr>
          <w:rFonts w:ascii="Times New Roman" w:hAnsi="Times New Roman" w:cs="Times New Roman"/>
        </w:rPr>
        <w:t xml:space="preserve"> </w:t>
      </w:r>
      <w:r w:rsidR="00085F97" w:rsidRPr="0025354B">
        <w:rPr>
          <w:rFonts w:ascii="Times New Roman" w:hAnsi="Times New Roman" w:cs="Times New Roman"/>
        </w:rPr>
        <w:t>Дирекция</w:t>
      </w:r>
      <w:r w:rsidRPr="0025354B">
        <w:rPr>
          <w:rFonts w:ascii="Times New Roman" w:hAnsi="Times New Roman" w:cs="Times New Roman"/>
        </w:rPr>
        <w:t xml:space="preserve">та </w:t>
      </w:r>
      <w:r w:rsidR="00085F97" w:rsidRPr="0025354B">
        <w:rPr>
          <w:rFonts w:ascii="Times New Roman" w:hAnsi="Times New Roman" w:cs="Times New Roman"/>
        </w:rPr>
        <w:t xml:space="preserve">координира изпълнението на Националната програма за енергийна ефективност на многофамилни жилищни сгради </w:t>
      </w:r>
      <w:r w:rsidR="00085F97" w:rsidRPr="0025354B">
        <w:rPr>
          <w:rFonts w:ascii="Times New Roman" w:hAnsi="Times New Roman" w:cs="Times New Roman"/>
          <w:lang w:val="en-US"/>
        </w:rPr>
        <w:t>(</w:t>
      </w:r>
      <w:r w:rsidR="00085F97" w:rsidRPr="0025354B">
        <w:rPr>
          <w:rFonts w:ascii="Times New Roman" w:hAnsi="Times New Roman" w:cs="Times New Roman"/>
        </w:rPr>
        <w:t>НПЕЕМЖС</w:t>
      </w:r>
      <w:r w:rsidR="00085F97" w:rsidRPr="0025354B">
        <w:rPr>
          <w:rFonts w:ascii="Times New Roman" w:hAnsi="Times New Roman" w:cs="Times New Roman"/>
          <w:lang w:val="en-US"/>
        </w:rPr>
        <w:t>)</w:t>
      </w:r>
      <w:r w:rsidR="00085F97" w:rsidRPr="0025354B">
        <w:rPr>
          <w:rFonts w:ascii="Times New Roman" w:hAnsi="Times New Roman" w:cs="Times New Roman"/>
        </w:rPr>
        <w:t>, която е насочена към обновяване на многофамилни жилищни сгради, като с нея се цели изпълнение на мерки за енергийна ефективност в същите.</w:t>
      </w:r>
    </w:p>
    <w:p w:rsidR="00211B4A" w:rsidRPr="00211B4A" w:rsidRDefault="00211B4A" w:rsidP="00A10F5E">
      <w:pPr>
        <w:tabs>
          <w:tab w:val="left" w:pos="851"/>
        </w:tabs>
        <w:spacing w:after="0" w:line="240" w:lineRule="auto"/>
        <w:ind w:firstLine="567"/>
        <w:jc w:val="both"/>
        <w:rPr>
          <w:rFonts w:ascii="Times New Roman" w:hAnsi="Times New Roman" w:cs="Times New Roman"/>
          <w:b/>
          <w:i/>
        </w:rPr>
      </w:pPr>
      <w:r w:rsidRPr="00211B4A">
        <w:rPr>
          <w:rFonts w:ascii="Times New Roman" w:hAnsi="Times New Roman" w:cs="Times New Roman"/>
          <w:b/>
          <w:i/>
        </w:rPr>
        <w:t>Стратегически цели</w:t>
      </w:r>
    </w:p>
    <w:p w:rsidR="00211B4A" w:rsidRP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Pr>
          <w:rFonts w:ascii="Times New Roman" w:hAnsi="Times New Roman" w:cs="Times New Roman"/>
        </w:rPr>
        <w:t>ст и устойчиво градско развитие;</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A10F5E" w:rsidRPr="00211B4A" w:rsidRDefault="00A10F5E" w:rsidP="00A10F5E">
      <w:pPr>
        <w:spacing w:after="0" w:line="240" w:lineRule="auto"/>
        <w:ind w:left="567"/>
        <w:jc w:val="both"/>
        <w:rPr>
          <w:rFonts w:ascii="Times New Roman" w:hAnsi="Times New Roman" w:cs="Times New Roman"/>
        </w:rPr>
      </w:pPr>
    </w:p>
    <w:p w:rsidR="006A4CE0" w:rsidRPr="0025354B" w:rsidRDefault="00766A55"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Отговорност</w:t>
      </w:r>
      <w:r w:rsidR="00D545AA" w:rsidRPr="0025354B">
        <w:rPr>
          <w:rFonts w:ascii="Times New Roman" w:hAnsi="Times New Roman" w:cs="Times New Roman"/>
          <w:b/>
          <w:i/>
          <w:color w:val="0000CC"/>
        </w:rPr>
        <w:t xml:space="preserve"> </w:t>
      </w:r>
      <w:r w:rsidR="00AE0B4B" w:rsidRPr="0025354B">
        <w:rPr>
          <w:rFonts w:ascii="Times New Roman" w:hAnsi="Times New Roman" w:cs="Times New Roman"/>
          <w:b/>
          <w:i/>
          <w:color w:val="0000CC"/>
        </w:rPr>
        <w:t>за</w:t>
      </w:r>
      <w:r w:rsidR="00091C5B" w:rsidRPr="0025354B">
        <w:rPr>
          <w:rFonts w:ascii="Times New Roman" w:hAnsi="Times New Roman" w:cs="Times New Roman"/>
          <w:b/>
          <w:i/>
          <w:color w:val="0000CC"/>
        </w:rPr>
        <w:t xml:space="preserve"> разпределението на публичните разходи</w:t>
      </w:r>
      <w:r w:rsidR="00AE0B4B" w:rsidRPr="0025354B">
        <w:rPr>
          <w:rFonts w:ascii="Times New Roman" w:hAnsi="Times New Roman" w:cs="Times New Roman"/>
          <w:b/>
          <w:i/>
          <w:color w:val="0000CC"/>
        </w:rPr>
        <w:t xml:space="preserve"> за политиката</w:t>
      </w:r>
    </w:p>
    <w:p w:rsidR="006A4CE0" w:rsidRPr="0025354B" w:rsidRDefault="006A4CE0" w:rsidP="00A10F5E">
      <w:pPr>
        <w:pStyle w:val="ListParagraph"/>
        <w:numPr>
          <w:ilvl w:val="0"/>
          <w:numId w:val="4"/>
        </w:numPr>
        <w:spacing w:after="0" w:line="240" w:lineRule="auto"/>
        <w:ind w:left="1134" w:firstLine="0"/>
        <w:jc w:val="both"/>
        <w:rPr>
          <w:rFonts w:ascii="Times New Roman" w:hAnsi="Times New Roman" w:cs="Times New Roman"/>
          <w:b/>
          <w:i/>
          <w:color w:val="0000CC"/>
        </w:rPr>
      </w:pPr>
      <w:r w:rsidRPr="0025354B">
        <w:rPr>
          <w:rFonts w:ascii="Times New Roman" w:hAnsi="Times New Roman" w:cs="Times New Roman"/>
          <w:b/>
          <w:i/>
          <w:color w:val="0000CC"/>
        </w:rPr>
        <w:t xml:space="preserve"> Консолидирани разходи по политиката, които ПРБ разходва пряко чрез бюджета и отговаря за разпределението/разчитането на</w:t>
      </w:r>
      <w:r w:rsidR="00574848" w:rsidRPr="0025354B">
        <w:rPr>
          <w:rFonts w:ascii="Times New Roman" w:hAnsi="Times New Roman" w:cs="Times New Roman"/>
          <w:b/>
          <w:i/>
          <w:color w:val="0000CC"/>
        </w:rPr>
        <w:t xml:space="preserve"> разходи по други бюджети и ССЕС</w:t>
      </w:r>
    </w:p>
    <w:tbl>
      <w:tblPr>
        <w:tblW w:w="9918" w:type="dxa"/>
        <w:tblInd w:w="75" w:type="dxa"/>
        <w:tblCellMar>
          <w:left w:w="70" w:type="dxa"/>
          <w:right w:w="70" w:type="dxa"/>
        </w:tblCellMar>
        <w:tblLook w:val="04A0" w:firstRow="1" w:lastRow="0" w:firstColumn="1" w:lastColumn="0" w:noHBand="0" w:noVBand="1"/>
      </w:tblPr>
      <w:tblGrid>
        <w:gridCol w:w="3681"/>
        <w:gridCol w:w="1559"/>
        <w:gridCol w:w="1418"/>
        <w:gridCol w:w="1559"/>
        <w:gridCol w:w="1701"/>
      </w:tblGrid>
      <w:tr w:rsidR="005348E4" w:rsidRPr="005348E4" w:rsidTr="005348E4">
        <w:trPr>
          <w:trHeight w:val="480"/>
        </w:trPr>
        <w:tc>
          <w:tcPr>
            <w:tcW w:w="368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Област на политика (в хил. лв.)</w:t>
            </w:r>
          </w:p>
        </w:tc>
        <w:tc>
          <w:tcPr>
            <w:tcW w:w="1559"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 </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Общо разходи</w:t>
            </w:r>
          </w:p>
        </w:tc>
        <w:tc>
          <w:tcPr>
            <w:tcW w:w="1559"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По бюджета на ПРБ</w:t>
            </w:r>
          </w:p>
        </w:tc>
        <w:tc>
          <w:tcPr>
            <w:tcW w:w="1701"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По други бюджети и сметки за СЕС</w:t>
            </w:r>
          </w:p>
        </w:tc>
      </w:tr>
      <w:tr w:rsidR="005348E4" w:rsidRPr="005348E4" w:rsidTr="005348E4">
        <w:trPr>
          <w:trHeight w:val="390"/>
        </w:trPr>
        <w:tc>
          <w:tcPr>
            <w:tcW w:w="368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Проект 2022 г.</w:t>
            </w:r>
          </w:p>
        </w:tc>
        <w:tc>
          <w:tcPr>
            <w:tcW w:w="1418"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2 222 136,7</w:t>
            </w: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3 164,9</w:t>
            </w:r>
          </w:p>
        </w:tc>
        <w:tc>
          <w:tcPr>
            <w:tcW w:w="1701"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2 218 971,8</w:t>
            </w:r>
          </w:p>
        </w:tc>
      </w:tr>
      <w:tr w:rsidR="005348E4" w:rsidRPr="005348E4" w:rsidTr="005348E4">
        <w:trPr>
          <w:trHeight w:val="390"/>
        </w:trPr>
        <w:tc>
          <w:tcPr>
            <w:tcW w:w="3681"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2023 г.</w:t>
            </w:r>
          </w:p>
        </w:tc>
        <w:tc>
          <w:tcPr>
            <w:tcW w:w="1418"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2 283 362,6</w:t>
            </w: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3 514,9</w:t>
            </w:r>
          </w:p>
        </w:tc>
        <w:tc>
          <w:tcPr>
            <w:tcW w:w="1701"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2 279 847,7</w:t>
            </w:r>
          </w:p>
        </w:tc>
      </w:tr>
      <w:tr w:rsidR="005348E4" w:rsidRPr="005348E4" w:rsidTr="005348E4">
        <w:trPr>
          <w:trHeight w:val="390"/>
        </w:trPr>
        <w:tc>
          <w:tcPr>
            <w:tcW w:w="3681"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2024 г.</w:t>
            </w:r>
          </w:p>
        </w:tc>
        <w:tc>
          <w:tcPr>
            <w:tcW w:w="1418"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912 437,8</w:t>
            </w:r>
          </w:p>
        </w:tc>
        <w:tc>
          <w:tcPr>
            <w:tcW w:w="1559"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3 264,9</w:t>
            </w:r>
          </w:p>
        </w:tc>
        <w:tc>
          <w:tcPr>
            <w:tcW w:w="1701"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909 172,9</w:t>
            </w:r>
          </w:p>
        </w:tc>
      </w:tr>
    </w:tbl>
    <w:p w:rsidR="00A10F5E" w:rsidRDefault="00A10F5E" w:rsidP="00A10F5E">
      <w:pPr>
        <w:spacing w:after="0" w:line="240" w:lineRule="auto"/>
        <w:ind w:firstLine="567"/>
        <w:jc w:val="both"/>
        <w:rPr>
          <w:rFonts w:ascii="Times New Roman" w:eastAsia="Times New Roman" w:hAnsi="Times New Roman" w:cs="Times New Roman"/>
          <w:b/>
          <w:bCs/>
          <w:lang w:eastAsia="bg-BG"/>
        </w:rPr>
      </w:pPr>
    </w:p>
    <w:p w:rsidR="005B4591" w:rsidRPr="0025354B" w:rsidRDefault="005B4591" w:rsidP="00A10F5E">
      <w:pPr>
        <w:spacing w:after="0" w:line="240" w:lineRule="auto"/>
        <w:ind w:firstLine="567"/>
        <w:jc w:val="both"/>
        <w:rPr>
          <w:rFonts w:ascii="Times New Roman" w:eastAsia="Times New Roman" w:hAnsi="Times New Roman" w:cs="Times New Roman"/>
          <w:b/>
          <w:bCs/>
          <w:lang w:eastAsia="bg-BG"/>
        </w:rPr>
      </w:pPr>
      <w:r w:rsidRPr="0025354B">
        <w:rPr>
          <w:rFonts w:ascii="Times New Roman" w:eastAsia="Times New Roman" w:hAnsi="Times New Roman" w:cs="Times New Roman"/>
          <w:b/>
          <w:bCs/>
          <w:lang w:eastAsia="bg-BG"/>
        </w:rPr>
        <w:t>Програма „Развитие на регионите” 2021-2027 г.</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
          <w:bCs/>
          <w:i/>
          <w:iCs/>
          <w:lang w:eastAsia="bg-BG"/>
        </w:rPr>
      </w:pPr>
      <w:r w:rsidRPr="00F265BF">
        <w:rPr>
          <w:rFonts w:ascii="Times New Roman" w:eastAsia="Times New Roman" w:hAnsi="Times New Roman" w:cs="Times New Roman"/>
          <w:b/>
          <w:bCs/>
          <w:i/>
          <w:iCs/>
          <w:lang w:eastAsia="bg-BG"/>
        </w:rPr>
        <w:t xml:space="preserve">Стратегически цели: </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Cs/>
          <w:i/>
          <w:iCs/>
          <w:lang w:eastAsia="bg-BG"/>
        </w:rPr>
      </w:pPr>
      <w:r w:rsidRPr="00F265BF">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г.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
          <w:bCs/>
          <w:i/>
          <w:iCs/>
          <w:lang w:eastAsia="bg-BG"/>
        </w:rPr>
      </w:pPr>
      <w:r w:rsidRPr="00F265BF">
        <w:rPr>
          <w:rFonts w:ascii="Times New Roman" w:eastAsia="Times New Roman" w:hAnsi="Times New Roman" w:cs="Times New Roman"/>
          <w:b/>
          <w:bCs/>
          <w:i/>
          <w:iCs/>
          <w:lang w:eastAsia="bg-BG"/>
        </w:rPr>
        <w:t>Оперативни цели:</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Насърчаване на балансирано териториално развитие чрез полицентрична мрежа от градове;</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Увеличаване на икономическия растеж на българските региони;</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lastRenderedPageBreak/>
        <w:t>Справяне с негативните демографски тенденции и намаляване на регионалните различия по отношение на населението.</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val="en-US" w:eastAsia="bg-BG"/>
        </w:rPr>
      </w:pPr>
      <w:r w:rsidRPr="00F265BF">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F265BF">
        <w:rPr>
          <w:rFonts w:ascii="Times New Roman" w:eastAsia="Times New Roman" w:hAnsi="Times New Roman" w:cs="Times New Roman"/>
          <w:lang w:val="en-US" w:eastAsia="bg-BG"/>
        </w:rPr>
        <w:t xml:space="preserve"> – </w:t>
      </w:r>
      <w:r w:rsidRPr="00F265BF">
        <w:rPr>
          <w:rFonts w:ascii="Times New Roman" w:eastAsia="Times New Roman" w:hAnsi="Times New Roman" w:cs="Times New Roman"/>
          <w:lang w:eastAsia="bg-BG"/>
        </w:rPr>
        <w:t xml:space="preserve">„Европа по-близо до гражданите </w:t>
      </w:r>
      <w:r w:rsidRPr="00F265BF">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F265BF">
        <w:rPr>
          <w:rFonts w:ascii="Times New Roman" w:eastAsia="Times New Roman" w:hAnsi="Times New Roman" w:cs="Times New Roman"/>
          <w:lang w:val="en-US" w:eastAsia="bg-BG"/>
        </w:rPr>
        <w:t>”</w:t>
      </w:r>
      <w:r w:rsidRPr="00F265BF">
        <w:rPr>
          <w:rFonts w:ascii="Times New Roman" w:eastAsia="Times New Roman" w:hAnsi="Times New Roman" w:cs="Times New Roman"/>
          <w:lang w:eastAsia="bg-BG"/>
        </w:rPr>
        <w:t>,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В допълнение, в рамките на ПРР 2021-2027 г. ще бъдат изпълнявани проекти от териториалните планове за справедлив преход, със средства от Фонда за справедлив преход.</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Cs/>
          <w:lang w:eastAsia="bg-BG"/>
        </w:rPr>
      </w:pPr>
      <w:r w:rsidRPr="00F265BF">
        <w:rPr>
          <w:rFonts w:ascii="Times New Roman" w:eastAsia="Times New Roman" w:hAnsi="Times New Roman" w:cs="Times New Roman"/>
          <w:bCs/>
          <w:lang w:eastAsia="bg-BG"/>
        </w:rPr>
        <w:t>Предоставяни по програмата продукти/услуги</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ПРР 2021-2027 г. ще финансира основно инфраструктурни мерки в следните направления:</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социална, образователна, културна, здравна, спортна инфраструктура;</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енергийна ефективност, устойчива градска мобилност, качествена и безопасна околна среда;</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инфраструктура за развитие на икономически дейности;</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инфраструктура за здравеопазване и деинституционализация на базата на картиране (mapping);</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пътища и безопасност на движението;</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културно-историческо наследство и туризъм;</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други дейности, допустими по ЕФРР</w:t>
      </w:r>
      <w:r>
        <w:rPr>
          <w:rFonts w:ascii="Times New Roman" w:eastAsia="Times New Roman" w:hAnsi="Times New Roman" w:cs="Times New Roman"/>
          <w:lang w:eastAsia="bg-BG"/>
        </w:rPr>
        <w:t>.</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676E01" w:rsidRDefault="00676E01" w:rsidP="00A10F5E">
      <w:pPr>
        <w:pStyle w:val="ListParagraph"/>
        <w:tabs>
          <w:tab w:val="left" w:pos="851"/>
        </w:tabs>
        <w:spacing w:after="0" w:line="240" w:lineRule="auto"/>
        <w:ind w:left="567"/>
        <w:jc w:val="both"/>
        <w:rPr>
          <w:rFonts w:ascii="Times New Roman" w:hAnsi="Times New Roman" w:cs="Times New Roman"/>
          <w:b/>
          <w:i/>
          <w:color w:val="0000CC"/>
        </w:rPr>
      </w:pPr>
    </w:p>
    <w:p w:rsidR="00740960" w:rsidRDefault="00230093" w:rsidP="00A10F5E">
      <w:pPr>
        <w:pStyle w:val="ListParagraph"/>
        <w:tabs>
          <w:tab w:val="left" w:pos="851"/>
        </w:tabs>
        <w:spacing w:after="0" w:line="240" w:lineRule="auto"/>
        <w:ind w:left="567"/>
        <w:jc w:val="both"/>
        <w:rPr>
          <w:rFonts w:ascii="Times New Roman" w:hAnsi="Times New Roman" w:cs="Times New Roman"/>
          <w:b/>
          <w:i/>
          <w:color w:val="0000CC"/>
        </w:rPr>
      </w:pPr>
      <w:r w:rsidRPr="009A0A4F">
        <w:rPr>
          <w:rFonts w:ascii="Times New Roman" w:hAnsi="Times New Roman" w:cs="Times New Roman"/>
          <w:b/>
          <w:i/>
          <w:color w:val="0000CC"/>
        </w:rPr>
        <w:t>Ключови индикатори и целеви стойности</w:t>
      </w:r>
      <w:r w:rsidR="00091C5B" w:rsidRPr="009A0A4F">
        <w:rPr>
          <w:rFonts w:ascii="Times New Roman" w:hAnsi="Times New Roman" w:cs="Times New Roman"/>
          <w:b/>
          <w:i/>
          <w:color w:val="0000CC"/>
        </w:rPr>
        <w:t xml:space="preserve"> (попълва се за всяка област на политика)</w:t>
      </w:r>
    </w:p>
    <w:tbl>
      <w:tblPr>
        <w:tblStyle w:val="TableGrid2"/>
        <w:tblW w:w="98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141"/>
        <w:gridCol w:w="1268"/>
        <w:gridCol w:w="1135"/>
        <w:gridCol w:w="141"/>
      </w:tblGrid>
      <w:tr w:rsidR="008459A5" w:rsidRPr="00FB714C" w:rsidTr="000D33E0">
        <w:trPr>
          <w:gridAfter w:val="1"/>
          <w:wAfter w:w="141" w:type="dxa"/>
          <w:trHeight w:val="801"/>
        </w:trPr>
        <w:tc>
          <w:tcPr>
            <w:tcW w:w="5070" w:type="dxa"/>
          </w:tcPr>
          <w:p w:rsidR="008459A5" w:rsidRPr="00FB714C" w:rsidRDefault="008459A5" w:rsidP="00A10F5E">
            <w:pPr>
              <w:jc w:val="center"/>
              <w:rPr>
                <w:rFonts w:ascii="Times New Roman" w:hAnsi="Times New Roman" w:cs="Times New Roman"/>
                <w:i/>
                <w:iCs/>
                <w:sz w:val="20"/>
                <w:szCs w:val="20"/>
              </w:rPr>
            </w:pPr>
            <w:r w:rsidRPr="00FB714C">
              <w:rPr>
                <w:rFonts w:ascii="Times New Roman" w:hAnsi="Times New Roman" w:cs="Times New Roman"/>
                <w:i/>
                <w:iCs/>
                <w:sz w:val="20"/>
                <w:szCs w:val="20"/>
              </w:rPr>
              <w:t>Област на политика:</w:t>
            </w:r>
          </w:p>
          <w:p w:rsidR="008459A5" w:rsidRPr="00FB714C" w:rsidRDefault="008459A5" w:rsidP="00A10F5E">
            <w:pPr>
              <w:rPr>
                <w:rFonts w:ascii="Times New Roman" w:hAnsi="Times New Roman" w:cs="Times New Roman"/>
                <w:b/>
                <w:bCs/>
                <w:sz w:val="20"/>
                <w:szCs w:val="20"/>
              </w:rPr>
            </w:pPr>
            <w:r w:rsidRPr="00FB714C">
              <w:rPr>
                <w:rFonts w:ascii="Times New Roman" w:eastAsia="Times New Roman" w:hAnsi="Times New Roman" w:cs="Times New Roman"/>
                <w:color w:val="000000"/>
                <w:sz w:val="20"/>
                <w:szCs w:val="20"/>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Pr="00FB714C">
              <w:rPr>
                <w:rFonts w:ascii="Times New Roman" w:hAnsi="Times New Roman" w:cs="Times New Roman"/>
                <w:i/>
                <w:iCs/>
                <w:sz w:val="20"/>
                <w:szCs w:val="20"/>
              </w:rPr>
              <w:t>.</w:t>
            </w:r>
          </w:p>
        </w:tc>
        <w:tc>
          <w:tcPr>
            <w:tcW w:w="1134" w:type="dxa"/>
            <w:vMerge w:val="restart"/>
            <w:shd w:val="clear" w:color="auto" w:fill="F2F2F2" w:themeFill="background1" w:themeFillShade="F2"/>
          </w:tcPr>
          <w:p w:rsidR="008459A5" w:rsidRPr="00FB714C" w:rsidRDefault="008459A5"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Мерна единица</w:t>
            </w:r>
          </w:p>
        </w:tc>
        <w:tc>
          <w:tcPr>
            <w:tcW w:w="1141" w:type="dxa"/>
          </w:tcPr>
          <w:p w:rsidR="008459A5" w:rsidRPr="00FB714C" w:rsidRDefault="008459A5" w:rsidP="00A10F5E">
            <w:pPr>
              <w:jc w:val="center"/>
              <w:rPr>
                <w:rFonts w:ascii="Times New Roman" w:hAnsi="Times New Roman" w:cs="Times New Roman"/>
                <w:b/>
                <w:bCs/>
                <w:sz w:val="20"/>
                <w:szCs w:val="20"/>
              </w:rPr>
            </w:pPr>
          </w:p>
        </w:tc>
        <w:tc>
          <w:tcPr>
            <w:tcW w:w="2403" w:type="dxa"/>
            <w:gridSpan w:val="2"/>
            <w:tcBorders>
              <w:top w:val="single" w:sz="4" w:space="0" w:color="auto"/>
              <w:bottom w:val="single" w:sz="4" w:space="0" w:color="auto"/>
            </w:tcBorders>
          </w:tcPr>
          <w:p w:rsidR="008459A5" w:rsidRPr="00FB714C" w:rsidRDefault="008459A5"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Целева стойност</w:t>
            </w:r>
          </w:p>
        </w:tc>
      </w:tr>
      <w:tr w:rsidR="006D4941" w:rsidRPr="00FB714C" w:rsidTr="009D0BE9">
        <w:trPr>
          <w:trHeight w:val="200"/>
        </w:trPr>
        <w:tc>
          <w:tcPr>
            <w:tcW w:w="5070" w:type="dxa"/>
            <w:tcBorders>
              <w:bottom w:val="single" w:sz="4" w:space="0" w:color="auto"/>
            </w:tcBorders>
          </w:tcPr>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Наименование на индикатора</w:t>
            </w:r>
          </w:p>
        </w:tc>
        <w:tc>
          <w:tcPr>
            <w:tcW w:w="1134" w:type="dxa"/>
            <w:vMerge/>
            <w:tcBorders>
              <w:bottom w:val="single" w:sz="4" w:space="0" w:color="auto"/>
            </w:tcBorders>
            <w:shd w:val="clear" w:color="auto" w:fill="F2F2F2" w:themeFill="background1" w:themeFillShade="F2"/>
          </w:tcPr>
          <w:p w:rsidR="006D4941" w:rsidRPr="00FB714C" w:rsidRDefault="006D4941" w:rsidP="00A10F5E">
            <w:pPr>
              <w:jc w:val="center"/>
              <w:rPr>
                <w:rFonts w:ascii="Times New Roman" w:hAnsi="Times New Roman" w:cs="Times New Roman"/>
                <w:b/>
                <w:bCs/>
                <w:sz w:val="20"/>
                <w:szCs w:val="20"/>
              </w:rPr>
            </w:pPr>
          </w:p>
        </w:tc>
        <w:tc>
          <w:tcPr>
            <w:tcW w:w="1141" w:type="dxa"/>
            <w:tcBorders>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w:t>
            </w:r>
            <w:r w:rsidR="00FE0B47">
              <w:rPr>
                <w:rFonts w:ascii="Times New Roman" w:hAnsi="Times New Roman" w:cs="Times New Roman"/>
                <w:b/>
                <w:bCs/>
                <w:i/>
                <w:iCs/>
                <w:sz w:val="20"/>
                <w:szCs w:val="20"/>
              </w:rPr>
              <w:t>ект</w:t>
            </w:r>
            <w:r w:rsidR="006F4BDD" w:rsidRPr="00FB714C">
              <w:rPr>
                <w:rFonts w:ascii="Times New Roman" w:hAnsi="Times New Roman" w:cs="Times New Roman"/>
                <w:b/>
                <w:bCs/>
                <w:i/>
                <w:iCs/>
                <w:sz w:val="20"/>
                <w:szCs w:val="20"/>
              </w:rPr>
              <w:t xml:space="preserve"> 2022</w:t>
            </w:r>
            <w:r w:rsidRPr="00FB714C">
              <w:rPr>
                <w:rFonts w:ascii="Times New Roman" w:hAnsi="Times New Roman" w:cs="Times New Roman"/>
                <w:b/>
                <w:bCs/>
                <w:i/>
                <w:iCs/>
                <w:sz w:val="20"/>
                <w:szCs w:val="20"/>
              </w:rPr>
              <w:t xml:space="preserve"> г.</w:t>
            </w:r>
          </w:p>
        </w:tc>
        <w:tc>
          <w:tcPr>
            <w:tcW w:w="1268" w:type="dxa"/>
            <w:tcBorders>
              <w:top w:val="single" w:sz="4" w:space="0" w:color="auto"/>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3</w:t>
            </w:r>
            <w:r w:rsidRPr="00FB714C">
              <w:rPr>
                <w:rFonts w:ascii="Times New Roman" w:hAnsi="Times New Roman" w:cs="Times New Roman"/>
                <w:b/>
                <w:bCs/>
                <w:i/>
                <w:iCs/>
                <w:sz w:val="20"/>
                <w:szCs w:val="20"/>
              </w:rPr>
              <w:t xml:space="preserve"> г.</w:t>
            </w:r>
          </w:p>
        </w:tc>
        <w:tc>
          <w:tcPr>
            <w:tcW w:w="1276" w:type="dxa"/>
            <w:gridSpan w:val="2"/>
            <w:tcBorders>
              <w:top w:val="single" w:sz="4" w:space="0" w:color="auto"/>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4</w:t>
            </w:r>
            <w:r w:rsidRPr="00FB714C">
              <w:rPr>
                <w:rFonts w:ascii="Times New Roman" w:hAnsi="Times New Roman" w:cs="Times New Roman"/>
                <w:b/>
                <w:bCs/>
                <w:i/>
                <w:iCs/>
                <w:sz w:val="20"/>
                <w:szCs w:val="20"/>
              </w:rPr>
              <w:t xml:space="preserve"> г.</w:t>
            </w:r>
          </w:p>
        </w:tc>
      </w:tr>
      <w:tr w:rsidR="002362A8" w:rsidRPr="00FB714C" w:rsidTr="00A10F5E">
        <w:trPr>
          <w:trHeight w:val="283"/>
        </w:trPr>
        <w:tc>
          <w:tcPr>
            <w:tcW w:w="5070" w:type="dxa"/>
            <w:tcBorders>
              <w:top w:val="single" w:sz="4" w:space="0" w:color="auto"/>
              <w:bottom w:val="nil"/>
            </w:tcBorders>
            <w:vAlign w:val="center"/>
          </w:tcPr>
          <w:p w:rsidR="002362A8" w:rsidRPr="00FB714C" w:rsidRDefault="002362A8" w:rsidP="00A10F5E">
            <w:pPr>
              <w:rPr>
                <w:rFonts w:ascii="Times New Roman" w:eastAsia="Times New Roman" w:hAnsi="Times New Roman" w:cs="Times New Roman"/>
                <w:sz w:val="20"/>
                <w:szCs w:val="20"/>
                <w:lang w:eastAsia="bg-BG"/>
              </w:rPr>
            </w:pPr>
            <w:r w:rsidRPr="00FB714C">
              <w:rPr>
                <w:rFonts w:ascii="Times New Roman" w:hAnsi="Times New Roman" w:cs="Times New Roman"/>
                <w:sz w:val="20"/>
                <w:szCs w:val="20"/>
              </w:rPr>
              <w:t>1.</w:t>
            </w:r>
            <w:r w:rsidRPr="00FB714C">
              <w:rPr>
                <w:rFonts w:ascii="Times New Roman" w:hAnsi="Times New Roman" w:cs="Times New Roman"/>
                <w:b/>
                <w:sz w:val="20"/>
                <w:szCs w:val="20"/>
              </w:rPr>
              <w:t xml:space="preserve"> </w:t>
            </w:r>
            <w:r w:rsidRPr="00FB714C">
              <w:rPr>
                <w:rFonts w:ascii="Times New Roman" w:eastAsia="Times New Roman" w:hAnsi="Times New Roman" w:cs="Times New Roman"/>
                <w:sz w:val="20"/>
                <w:szCs w:val="20"/>
                <w:lang w:eastAsia="bg-BG"/>
              </w:rPr>
              <w:t>Изпълнение на Пътна карта за нови подходи в регионалната политика</w:t>
            </w:r>
            <w:r w:rsidRPr="00FB714C">
              <w:rPr>
                <w:rFonts w:ascii="Times New Roman" w:eastAsia="Times New Roman" w:hAnsi="Times New Roman" w:cs="Times New Roman"/>
                <w:sz w:val="20"/>
                <w:szCs w:val="20"/>
                <w:lang w:val="en-US" w:eastAsia="bg-BG"/>
              </w:rPr>
              <w:t xml:space="preserve"> </w:t>
            </w:r>
            <w:r w:rsidRPr="00FB714C">
              <w:rPr>
                <w:rFonts w:ascii="Times New Roman" w:eastAsia="Times New Roman" w:hAnsi="Times New Roman" w:cs="Times New Roman"/>
                <w:sz w:val="20"/>
                <w:szCs w:val="20"/>
                <w:lang w:eastAsia="bg-BG"/>
              </w:rPr>
              <w:t>с цел създаване на условия за балансирано териториално развитие</w:t>
            </w:r>
          </w:p>
          <w:p w:rsidR="002362A8" w:rsidRPr="004D4CC6" w:rsidRDefault="002362A8" w:rsidP="00A10F5E">
            <w:pPr>
              <w:rPr>
                <w:rFonts w:ascii="Times New Roman" w:eastAsia="Times New Roman" w:hAnsi="Times New Roman" w:cs="Times New Roman"/>
                <w:sz w:val="20"/>
                <w:szCs w:val="20"/>
                <w:lang w:eastAsia="bg-BG"/>
              </w:rPr>
            </w:pPr>
            <w:r w:rsidRPr="00FB714C">
              <w:rPr>
                <w:rFonts w:ascii="Times New Roman" w:eastAsia="Times New Roman" w:hAnsi="Times New Roman" w:cs="Times New Roman"/>
                <w:sz w:val="20"/>
                <w:szCs w:val="20"/>
                <w:lang w:eastAsia="bg-BG"/>
              </w:rPr>
              <w:t>(с натрупване)</w:t>
            </w:r>
          </w:p>
        </w:tc>
        <w:tc>
          <w:tcPr>
            <w:tcW w:w="1134" w:type="dxa"/>
            <w:tcBorders>
              <w:top w:val="single" w:sz="4" w:space="0" w:color="auto"/>
              <w:bottom w:val="nil"/>
            </w:tcBorders>
            <w:shd w:val="clear" w:color="auto" w:fill="F2F2F2" w:themeFill="background1" w:themeFillShade="F2"/>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w:t>
            </w:r>
          </w:p>
        </w:tc>
        <w:tc>
          <w:tcPr>
            <w:tcW w:w="1141" w:type="dxa"/>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rPr>
            </w:pPr>
            <w:r w:rsidRPr="00FB714C">
              <w:rPr>
                <w:rFonts w:ascii="Times New Roman" w:hAnsi="Times New Roman" w:cs="Times New Roman"/>
                <w:sz w:val="20"/>
                <w:szCs w:val="20"/>
              </w:rPr>
              <w:t>100</w:t>
            </w:r>
          </w:p>
        </w:tc>
        <w:tc>
          <w:tcPr>
            <w:tcW w:w="1268" w:type="dxa"/>
            <w:tcBorders>
              <w:top w:val="single" w:sz="4" w:space="0" w:color="auto"/>
              <w:bottom w:val="nil"/>
            </w:tcBorders>
            <w:vAlign w:val="center"/>
          </w:tcPr>
          <w:p w:rsidR="002362A8" w:rsidRPr="00FB714C" w:rsidRDefault="00237363"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30</w:t>
            </w:r>
          </w:p>
        </w:tc>
        <w:tc>
          <w:tcPr>
            <w:tcW w:w="1276" w:type="dxa"/>
            <w:gridSpan w:val="2"/>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rPr>
            </w:pPr>
            <w:r w:rsidRPr="00CE6D5B">
              <w:rPr>
                <w:rFonts w:ascii="Times New Roman" w:hAnsi="Times New Roman" w:cs="Times New Roman"/>
                <w:sz w:val="20"/>
                <w:szCs w:val="20"/>
              </w:rPr>
              <w:t>30</w:t>
            </w:r>
          </w:p>
        </w:tc>
      </w:tr>
      <w:tr w:rsidR="002362A8" w:rsidRPr="00FB714C" w:rsidTr="00A10F5E">
        <w:trPr>
          <w:trHeight w:val="232"/>
        </w:trPr>
        <w:tc>
          <w:tcPr>
            <w:tcW w:w="5070" w:type="dxa"/>
            <w:tcBorders>
              <w:top w:val="single" w:sz="4" w:space="0" w:color="auto"/>
              <w:bottom w:val="nil"/>
            </w:tcBorders>
            <w:vAlign w:val="center"/>
          </w:tcPr>
          <w:p w:rsidR="002362A8" w:rsidRPr="00FB714C" w:rsidRDefault="002362A8" w:rsidP="00A10F5E">
            <w:pPr>
              <w:rPr>
                <w:rFonts w:ascii="Times New Roman" w:hAnsi="Times New Roman" w:cs="Times New Roman"/>
                <w:b/>
                <w:sz w:val="20"/>
                <w:szCs w:val="20"/>
              </w:rPr>
            </w:pPr>
            <w:r w:rsidRPr="00FB714C">
              <w:rPr>
                <w:rFonts w:ascii="Times New Roman" w:eastAsia="Times New Roman" w:hAnsi="Times New Roman" w:cs="Times New Roman"/>
                <w:sz w:val="20"/>
                <w:szCs w:val="20"/>
                <w:lang w:eastAsia="bg-BG"/>
              </w:rPr>
              <w:t>2. Намаляване на дела на мигриралото население (вътрешна миграция)</w:t>
            </w:r>
          </w:p>
        </w:tc>
        <w:tc>
          <w:tcPr>
            <w:tcW w:w="1134" w:type="dxa"/>
            <w:tcBorders>
              <w:top w:val="single" w:sz="4" w:space="0" w:color="auto"/>
              <w:bottom w:val="nil"/>
            </w:tcBorders>
            <w:shd w:val="clear" w:color="auto" w:fill="F2F2F2" w:themeFill="background1" w:themeFillShade="F2"/>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w:t>
            </w:r>
          </w:p>
        </w:tc>
        <w:tc>
          <w:tcPr>
            <w:tcW w:w="1141" w:type="dxa"/>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2,0</w:t>
            </w:r>
            <w:r w:rsidRPr="00FB714C">
              <w:rPr>
                <w:rFonts w:ascii="Times New Roman" w:hAnsi="Times New Roman" w:cs="Times New Roman"/>
                <w:sz w:val="20"/>
                <w:szCs w:val="20"/>
                <w:lang w:val="en-US"/>
              </w:rPr>
              <w:t>2</w:t>
            </w:r>
          </w:p>
        </w:tc>
        <w:tc>
          <w:tcPr>
            <w:tcW w:w="1268" w:type="dxa"/>
            <w:tcBorders>
              <w:top w:val="single" w:sz="4" w:space="0" w:color="auto"/>
              <w:bottom w:val="nil"/>
            </w:tcBorders>
            <w:vAlign w:val="center"/>
          </w:tcPr>
          <w:p w:rsidR="002362A8" w:rsidRPr="00FB714C" w:rsidRDefault="00237363" w:rsidP="00A10F5E">
            <w:pPr>
              <w:jc w:val="center"/>
              <w:rPr>
                <w:rFonts w:ascii="Times New Roman" w:hAnsi="Times New Roman" w:cs="Times New Roman"/>
                <w:sz w:val="20"/>
                <w:szCs w:val="20"/>
              </w:rPr>
            </w:pPr>
            <w:r w:rsidRPr="00FB714C">
              <w:rPr>
                <w:rFonts w:ascii="Times New Roman" w:eastAsia="Times New Roman" w:hAnsi="Times New Roman" w:cs="Times New Roman"/>
                <w:sz w:val="20"/>
                <w:szCs w:val="20"/>
                <w:lang w:eastAsia="bg-BG"/>
              </w:rPr>
              <w:t>2,01</w:t>
            </w:r>
          </w:p>
        </w:tc>
        <w:tc>
          <w:tcPr>
            <w:tcW w:w="1276" w:type="dxa"/>
            <w:gridSpan w:val="2"/>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lang w:val="en-US"/>
              </w:rPr>
            </w:pPr>
            <w:r w:rsidRPr="00CE6D5B">
              <w:rPr>
                <w:rFonts w:ascii="Times New Roman" w:hAnsi="Times New Roman" w:cs="Times New Roman"/>
                <w:sz w:val="20"/>
                <w:szCs w:val="20"/>
              </w:rPr>
              <w:t>2,0</w:t>
            </w:r>
            <w:r w:rsidRPr="00CE6D5B">
              <w:rPr>
                <w:rFonts w:ascii="Times New Roman" w:hAnsi="Times New Roman" w:cs="Times New Roman"/>
                <w:sz w:val="20"/>
                <w:szCs w:val="20"/>
                <w:lang w:val="en-US"/>
              </w:rPr>
              <w:t>1</w:t>
            </w:r>
          </w:p>
        </w:tc>
      </w:tr>
      <w:tr w:rsidR="00CB1305" w:rsidRPr="00FB714C" w:rsidTr="00A10F5E">
        <w:trPr>
          <w:trHeight w:val="325"/>
        </w:trPr>
        <w:tc>
          <w:tcPr>
            <w:tcW w:w="5070" w:type="dxa"/>
            <w:tcBorders>
              <w:top w:val="single" w:sz="4" w:space="0" w:color="auto"/>
              <w:bottom w:val="nil"/>
            </w:tcBorders>
            <w:vAlign w:val="center"/>
          </w:tcPr>
          <w:p w:rsidR="00CB1305" w:rsidRPr="00FB714C" w:rsidRDefault="00CB1305" w:rsidP="00A10F5E">
            <w:pPr>
              <w:tabs>
                <w:tab w:val="left" w:pos="284"/>
              </w:tabs>
              <w:rPr>
                <w:rFonts w:ascii="Times New Roman" w:hAnsi="Times New Roman" w:cs="Times New Roman"/>
                <w:sz w:val="20"/>
                <w:szCs w:val="20"/>
              </w:rPr>
            </w:pPr>
            <w:r w:rsidRPr="00FB714C">
              <w:rPr>
                <w:rFonts w:ascii="Times New Roman" w:hAnsi="Times New Roman" w:cs="Times New Roman"/>
                <w:sz w:val="20"/>
                <w:szCs w:val="20"/>
              </w:rPr>
              <w:t>3. Брой реконструирани/възстановени културни и исторически обекти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55</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4. Население, възползващо се от мерки за защита от наводнения или горски пожари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4</w:t>
            </w:r>
            <w:r>
              <w:rPr>
                <w:rFonts w:ascii="Times New Roman" w:hAnsi="Times New Roman" w:cs="Times New Roman"/>
                <w:sz w:val="20"/>
                <w:szCs w:val="20"/>
              </w:rPr>
              <w:t xml:space="preserve"> </w:t>
            </w:r>
            <w:r w:rsidRPr="00FB714C">
              <w:rPr>
                <w:rFonts w:ascii="Times New Roman" w:hAnsi="Times New Roman" w:cs="Times New Roman"/>
                <w:sz w:val="20"/>
                <w:szCs w:val="20"/>
              </w:rPr>
              <w:t>400</w:t>
            </w:r>
            <w:r>
              <w:rPr>
                <w:rFonts w:ascii="Times New Roman" w:hAnsi="Times New Roman" w:cs="Times New Roman"/>
                <w:sz w:val="20"/>
                <w:szCs w:val="20"/>
              </w:rPr>
              <w:t xml:space="preserve"> </w:t>
            </w:r>
            <w:r w:rsidRPr="00FB714C">
              <w:rPr>
                <w:rFonts w:ascii="Times New Roman" w:hAnsi="Times New Roman" w:cs="Times New Roman"/>
                <w:sz w:val="20"/>
                <w:szCs w:val="20"/>
              </w:rPr>
              <w:t>856</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5. Общ брой младежи, включени в схеми за младежко предприемачество и инициативи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bCs/>
                <w:sz w:val="20"/>
                <w:szCs w:val="20"/>
              </w:rPr>
              <w:t>573</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6. Брой участници в инициативи за обучение и квалификация</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bCs/>
                <w:sz w:val="20"/>
                <w:szCs w:val="20"/>
              </w:rPr>
              <w:t>150</w:t>
            </w:r>
            <w:r w:rsidRPr="00FB714C">
              <w:rPr>
                <w:rFonts w:ascii="Times New Roman" w:hAnsi="Times New Roman" w:cs="Times New Roman"/>
                <w:b/>
                <w:bCs/>
                <w:sz w:val="20"/>
                <w:szCs w:val="20"/>
              </w:rPr>
              <w:t>**</w:t>
            </w:r>
          </w:p>
        </w:tc>
      </w:tr>
      <w:tr w:rsidR="00CB1305" w:rsidRPr="00FB714C" w:rsidTr="00211B4A">
        <w:trPr>
          <w:trHeight w:val="70"/>
        </w:trPr>
        <w:tc>
          <w:tcPr>
            <w:tcW w:w="5070" w:type="dxa"/>
            <w:tcBorders>
              <w:top w:val="single" w:sz="4" w:space="0" w:color="auto"/>
              <w:bottom w:val="nil"/>
            </w:tcBorders>
          </w:tcPr>
          <w:p w:rsidR="00CB1305" w:rsidRPr="00FB714C" w:rsidRDefault="00CB1305" w:rsidP="00A10F5E">
            <w:pPr>
              <w:rPr>
                <w:rFonts w:ascii="Times New Roman" w:hAnsi="Times New Roman" w:cs="Times New Roman"/>
                <w:sz w:val="20"/>
                <w:szCs w:val="20"/>
              </w:rPr>
            </w:pPr>
          </w:p>
        </w:tc>
        <w:tc>
          <w:tcPr>
            <w:tcW w:w="1134" w:type="dxa"/>
            <w:tcBorders>
              <w:top w:val="single" w:sz="4" w:space="0" w:color="auto"/>
              <w:bottom w:val="nil"/>
            </w:tcBorders>
            <w:shd w:val="clear" w:color="auto" w:fill="F2F2F2" w:themeFill="background1" w:themeFillShade="F2"/>
          </w:tcPr>
          <w:p w:rsidR="00CB1305" w:rsidRPr="00FB714C" w:rsidRDefault="00CB1305" w:rsidP="00A10F5E">
            <w:pPr>
              <w:rPr>
                <w:rFonts w:ascii="Times New Roman" w:hAnsi="Times New Roman" w:cs="Times New Roman"/>
                <w:bCs/>
                <w:sz w:val="20"/>
                <w:szCs w:val="20"/>
              </w:rPr>
            </w:pPr>
          </w:p>
        </w:tc>
        <w:tc>
          <w:tcPr>
            <w:tcW w:w="1141" w:type="dxa"/>
            <w:tcBorders>
              <w:top w:val="single" w:sz="4" w:space="0" w:color="auto"/>
              <w:bottom w:val="nil"/>
            </w:tcBorders>
          </w:tcPr>
          <w:p w:rsidR="00CB1305" w:rsidRPr="00FB714C" w:rsidRDefault="00CB1305" w:rsidP="00A10F5E">
            <w:pPr>
              <w:jc w:val="center"/>
              <w:rPr>
                <w:rFonts w:ascii="Times New Roman" w:hAnsi="Times New Roman" w:cs="Times New Roman"/>
                <w:bCs/>
                <w:sz w:val="20"/>
                <w:szCs w:val="20"/>
              </w:rPr>
            </w:pPr>
          </w:p>
        </w:tc>
        <w:tc>
          <w:tcPr>
            <w:tcW w:w="1268" w:type="dxa"/>
            <w:tcBorders>
              <w:top w:val="single" w:sz="4" w:space="0" w:color="auto"/>
              <w:bottom w:val="nil"/>
            </w:tcBorders>
          </w:tcPr>
          <w:p w:rsidR="00CB1305" w:rsidRPr="00FB714C" w:rsidRDefault="00CB1305" w:rsidP="00A10F5E">
            <w:pPr>
              <w:rPr>
                <w:rFonts w:ascii="Times New Roman" w:hAnsi="Times New Roman" w:cs="Times New Roman"/>
                <w:bCs/>
                <w:sz w:val="20"/>
                <w:szCs w:val="20"/>
              </w:rPr>
            </w:pPr>
          </w:p>
        </w:tc>
        <w:tc>
          <w:tcPr>
            <w:tcW w:w="1276" w:type="dxa"/>
            <w:gridSpan w:val="2"/>
            <w:tcBorders>
              <w:top w:val="single" w:sz="4" w:space="0" w:color="auto"/>
              <w:bottom w:val="nil"/>
            </w:tcBorders>
          </w:tcPr>
          <w:p w:rsidR="00CB1305" w:rsidRPr="00FB714C" w:rsidRDefault="00CB1305" w:rsidP="00A10F5E">
            <w:pPr>
              <w:rPr>
                <w:rFonts w:ascii="Times New Roman" w:hAnsi="Times New Roman" w:cs="Times New Roman"/>
                <w:bCs/>
                <w:sz w:val="20"/>
                <w:szCs w:val="20"/>
              </w:rPr>
            </w:pPr>
          </w:p>
        </w:tc>
      </w:tr>
    </w:tbl>
    <w:p w:rsidR="00AD3BB2" w:rsidRDefault="00AD3BB2" w:rsidP="00A10F5E">
      <w:pPr>
        <w:spacing w:after="0" w:line="240" w:lineRule="auto"/>
        <w:contextualSpacing/>
        <w:jc w:val="both"/>
        <w:rPr>
          <w:rFonts w:ascii="Times New Roman" w:eastAsia="Calibri" w:hAnsi="Times New Roman" w:cs="Times New Roman"/>
          <w:color w:val="000000"/>
          <w:sz w:val="16"/>
          <w:szCs w:val="16"/>
          <w:lang w:val="ru-RU"/>
        </w:rPr>
      </w:pPr>
      <w:r w:rsidRPr="002362A8">
        <w:rPr>
          <w:rFonts w:ascii="Times New Roman" w:eastAsia="Calibri" w:hAnsi="Times New Roman" w:cs="Times New Roman"/>
          <w:color w:val="000000"/>
          <w:sz w:val="16"/>
          <w:szCs w:val="16"/>
          <w:lang w:val="ru-RU"/>
        </w:rPr>
        <w:t>** Целевите стойности са определени в одобрените от ЕК програмни документи за целия период на изпълнение на програмите</w:t>
      </w:r>
      <w:r w:rsidRPr="002362A8">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Pr="002362A8">
        <w:rPr>
          <w:rFonts w:ascii="Times New Roman" w:eastAsia="Calibri" w:hAnsi="Times New Roman" w:cs="Times New Roman"/>
          <w:color w:val="000000"/>
          <w:sz w:val="16"/>
          <w:szCs w:val="16"/>
          <w:lang w:val="ru-RU"/>
        </w:rPr>
        <w:t>.</w:t>
      </w:r>
    </w:p>
    <w:p w:rsidR="00A10F5E" w:rsidRPr="002362A8" w:rsidRDefault="00A10F5E" w:rsidP="00A10F5E">
      <w:pPr>
        <w:spacing w:after="0" w:line="240" w:lineRule="auto"/>
        <w:contextualSpacing/>
        <w:jc w:val="both"/>
        <w:rPr>
          <w:rFonts w:ascii="Times New Roman" w:eastAsia="Calibri" w:hAnsi="Times New Roman" w:cs="Times New Roman"/>
          <w:color w:val="000000"/>
          <w:sz w:val="16"/>
          <w:szCs w:val="16"/>
          <w:lang w:val="ru-RU"/>
        </w:rPr>
      </w:pPr>
    </w:p>
    <w:p w:rsidR="003C1CBE" w:rsidRDefault="009A0A4F" w:rsidP="00A10F5E">
      <w:pPr>
        <w:pStyle w:val="ListParagraph"/>
        <w:numPr>
          <w:ilvl w:val="0"/>
          <w:numId w:val="2"/>
        </w:numPr>
        <w:tabs>
          <w:tab w:val="left" w:pos="709"/>
        </w:tabs>
        <w:spacing w:after="0" w:line="240" w:lineRule="auto"/>
        <w:ind w:hanging="720"/>
        <w:jc w:val="both"/>
        <w:rPr>
          <w:rFonts w:ascii="Times New Roman" w:hAnsi="Times New Roman" w:cs="Times New Roman"/>
          <w:b/>
          <w:i/>
          <w:color w:val="0000CC"/>
        </w:rPr>
      </w:pPr>
      <w:r w:rsidRPr="0025354B">
        <w:rPr>
          <w:rFonts w:ascii="Times New Roman" w:hAnsi="Times New Roman" w:cs="Times New Roman"/>
          <w:b/>
          <w:i/>
          <w:color w:val="0000CC"/>
        </w:rPr>
        <w:t>К</w:t>
      </w:r>
      <w:r w:rsidR="004718D8" w:rsidRPr="0025354B">
        <w:rPr>
          <w:rFonts w:ascii="Times New Roman" w:hAnsi="Times New Roman" w:cs="Times New Roman"/>
          <w:b/>
          <w:i/>
          <w:color w:val="0000CC"/>
        </w:rPr>
        <w:t xml:space="preserve">ратко описание и мотиви за </w:t>
      </w:r>
      <w:r w:rsidR="000A695A" w:rsidRPr="0025354B">
        <w:rPr>
          <w:rFonts w:ascii="Times New Roman" w:hAnsi="Times New Roman" w:cs="Times New Roman"/>
          <w:b/>
          <w:i/>
          <w:color w:val="0000CC"/>
        </w:rPr>
        <w:t>избора</w:t>
      </w:r>
      <w:r w:rsidR="004718D8" w:rsidRPr="0025354B">
        <w:rPr>
          <w:rFonts w:ascii="Times New Roman" w:hAnsi="Times New Roman" w:cs="Times New Roman"/>
          <w:b/>
          <w:i/>
          <w:color w:val="0000CC"/>
        </w:rPr>
        <w:t xml:space="preserve"> </w:t>
      </w:r>
      <w:r w:rsidRPr="0025354B">
        <w:rPr>
          <w:rFonts w:ascii="Times New Roman" w:hAnsi="Times New Roman" w:cs="Times New Roman"/>
          <w:b/>
          <w:i/>
          <w:color w:val="0000CC"/>
        </w:rPr>
        <w:t>на посочените индикатори.</w:t>
      </w:r>
    </w:p>
    <w:p w:rsidR="00CB1305" w:rsidRPr="00CB1305" w:rsidRDefault="00CB1305" w:rsidP="00A10F5E">
      <w:pPr>
        <w:spacing w:after="0" w:line="240" w:lineRule="auto"/>
        <w:ind w:firstLine="567"/>
        <w:jc w:val="both"/>
        <w:rPr>
          <w:rFonts w:ascii="Times New Roman" w:eastAsia="Calibri" w:hAnsi="Times New Roman" w:cs="Times New Roman"/>
        </w:rPr>
      </w:pPr>
      <w:r w:rsidRPr="00CB1305">
        <w:rPr>
          <w:rFonts w:ascii="Times New Roman" w:eastAsia="Calibri" w:hAnsi="Times New Roman" w:cs="Times New Roman"/>
        </w:rPr>
        <w:t xml:space="preserve">МРРБ е определено за водещо ведомство по разработването и изпълнението на  Приоритет 9 „Местно развитие“ от </w:t>
      </w:r>
      <w:r w:rsidRPr="00CB1305">
        <w:rPr>
          <w:rFonts w:ascii="Times New Roman" w:eastAsia="Times New Roman" w:hAnsi="Times New Roman" w:cs="Times New Roman"/>
          <w:lang w:eastAsia="bg-BG"/>
        </w:rPr>
        <w:t xml:space="preserve"> </w:t>
      </w:r>
      <w:r w:rsidRPr="00CB1305">
        <w:rPr>
          <w:rFonts w:ascii="Times New Roman" w:eastAsia="Calibri" w:hAnsi="Times New Roman" w:cs="Times New Roman"/>
        </w:rPr>
        <w:t>Националната програма за развитие: БЪЛГАРИЯ 2030</w:t>
      </w:r>
      <w:r w:rsidRPr="00CB1305">
        <w:rPr>
          <w:rFonts w:ascii="Times New Roman" w:eastAsia="Calibri" w:hAnsi="Times New Roman" w:cs="Times New Roman"/>
          <w:lang w:val="en-US"/>
        </w:rPr>
        <w:t>)</w:t>
      </w:r>
      <w:r w:rsidRPr="00CB1305">
        <w:rPr>
          <w:rFonts w:ascii="Times New Roman" w:eastAsia="Calibri" w:hAnsi="Times New Roman" w:cs="Times New Roman"/>
        </w:rPr>
        <w:t xml:space="preserve">, съгласно приложение №2 на  Решение № 33 на Министерския съвет от 20.01.2020 г. Ключовите индикатори и целеви </w:t>
      </w:r>
      <w:r w:rsidRPr="00CB1305">
        <w:rPr>
          <w:rFonts w:ascii="Times New Roman" w:eastAsia="Calibri" w:hAnsi="Times New Roman" w:cs="Times New Roman"/>
        </w:rPr>
        <w:lastRenderedPageBreak/>
        <w:t>стойности, които се изпълняват в областта на политиката отговарят на целта на приоритета, а именно оползотворяването на идентифицирания местен потенциал за развитие, както и адресиране на местните проблеми и предизвикателства и не е необходимо да бъдат актуализирани.</w:t>
      </w:r>
    </w:p>
    <w:p w:rsidR="00CB1305" w:rsidRDefault="007222CD" w:rsidP="00A10F5E">
      <w:pPr>
        <w:pStyle w:val="ListParagraph"/>
        <w:numPr>
          <w:ilvl w:val="0"/>
          <w:numId w:val="2"/>
        </w:numPr>
        <w:spacing w:after="0" w:line="240" w:lineRule="auto"/>
        <w:ind w:left="0" w:firstLine="567"/>
        <w:jc w:val="both"/>
        <w:rPr>
          <w:rFonts w:ascii="Times New Roman" w:eastAsia="Calibri" w:hAnsi="Times New Roman" w:cs="Times New Roman"/>
        </w:rPr>
      </w:pPr>
      <w:r w:rsidRPr="009057FC">
        <w:rPr>
          <w:rFonts w:ascii="Times New Roman" w:eastAsia="Calibri" w:hAnsi="Times New Roman" w:cs="Times New Roman"/>
          <w:b/>
          <w:i/>
        </w:rPr>
        <w:t>П</w:t>
      </w:r>
      <w:r w:rsidR="00CB1305" w:rsidRPr="009057FC">
        <w:rPr>
          <w:rFonts w:ascii="Times New Roman" w:eastAsia="Calibri" w:hAnsi="Times New Roman" w:cs="Times New Roman"/>
          <w:b/>
          <w:i/>
        </w:rPr>
        <w:t xml:space="preserve">оказател </w:t>
      </w:r>
      <w:r w:rsidRPr="009057FC">
        <w:rPr>
          <w:rFonts w:ascii="Times New Roman" w:eastAsia="Calibri" w:hAnsi="Times New Roman" w:cs="Times New Roman"/>
          <w:b/>
          <w:i/>
        </w:rPr>
        <w:t>„</w:t>
      </w:r>
      <w:r w:rsidRPr="009057FC">
        <w:rPr>
          <w:rFonts w:ascii="Times New Roman" w:eastAsia="Times New Roman" w:hAnsi="Times New Roman" w:cs="Times New Roman"/>
          <w:b/>
          <w:i/>
          <w:lang w:eastAsia="bg-BG"/>
        </w:rPr>
        <w:t>Изпълнение на Пътна карта за нови подходи в регионалната политика</w:t>
      </w:r>
      <w:r w:rsidRPr="009057FC">
        <w:rPr>
          <w:rFonts w:ascii="Times New Roman" w:eastAsia="Times New Roman" w:hAnsi="Times New Roman" w:cs="Times New Roman"/>
          <w:b/>
          <w:i/>
          <w:lang w:val="en-US" w:eastAsia="bg-BG"/>
        </w:rPr>
        <w:t xml:space="preserve"> </w:t>
      </w:r>
      <w:r w:rsidRPr="009057FC">
        <w:rPr>
          <w:rFonts w:ascii="Times New Roman" w:eastAsia="Times New Roman" w:hAnsi="Times New Roman" w:cs="Times New Roman"/>
          <w:b/>
          <w:i/>
          <w:lang w:eastAsia="bg-BG"/>
        </w:rPr>
        <w:t>с цел създаване на условия за балансирано териториално развитие“</w:t>
      </w:r>
      <w:r w:rsidRPr="009057FC">
        <w:rPr>
          <w:rFonts w:ascii="Times New Roman" w:eastAsia="Calibri" w:hAnsi="Times New Roman" w:cs="Times New Roman"/>
        </w:rPr>
        <w:t xml:space="preserve"> </w:t>
      </w:r>
      <w:r w:rsidR="00CB1305" w:rsidRPr="009057FC">
        <w:rPr>
          <w:rFonts w:ascii="Times New Roman" w:eastAsia="Calibri" w:hAnsi="Times New Roman" w:cs="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Целта е към 2022 г. да се достигне 100% изпълнение. Предвижда се през 2022 г. да бъде разработена нова Пътна карта за реализиране на регионалната политика</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с цел създаване на условия за балансирано териториално развитие, чието  изпълнение да стартира през  2023 г.</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и до края на 2024 г. да бъдат изпълнени 30% от дейностите, които ще бъдат заложени в нея.</w:t>
      </w:r>
      <w:r w:rsidR="00FB568B" w:rsidRPr="009057FC">
        <w:rPr>
          <w:rFonts w:ascii="Times New Roman" w:eastAsia="Calibri" w:hAnsi="Times New Roman" w:cs="Times New Roman"/>
        </w:rPr>
        <w:t xml:space="preserve"> Индикаторът измерва и е насочен към изпълнението на </w:t>
      </w:r>
      <w:r w:rsidR="00271F21">
        <w:rPr>
          <w:rFonts w:ascii="Times New Roman" w:eastAsia="Calibri" w:hAnsi="Times New Roman" w:cs="Times New Roman"/>
        </w:rPr>
        <w:t xml:space="preserve">всички </w:t>
      </w:r>
      <w:r w:rsidR="00FB568B" w:rsidRPr="009057FC">
        <w:rPr>
          <w:rFonts w:ascii="Times New Roman" w:eastAsia="Calibri" w:hAnsi="Times New Roman" w:cs="Times New Roman"/>
        </w:rPr>
        <w:t>заложени стратегически цели по политиката.</w:t>
      </w:r>
    </w:p>
    <w:p w:rsidR="00CB1305" w:rsidRPr="009057FC" w:rsidRDefault="007222CD" w:rsidP="00A10F5E">
      <w:pPr>
        <w:pStyle w:val="ListParagraph"/>
        <w:numPr>
          <w:ilvl w:val="0"/>
          <w:numId w:val="2"/>
        </w:numPr>
        <w:spacing w:after="0" w:line="240" w:lineRule="auto"/>
        <w:ind w:left="0" w:firstLine="567"/>
        <w:jc w:val="both"/>
        <w:rPr>
          <w:rFonts w:ascii="Times New Roman" w:eastAsia="Calibri" w:hAnsi="Times New Roman" w:cs="Times New Roman"/>
        </w:rPr>
      </w:pPr>
      <w:r w:rsidRPr="009057FC">
        <w:rPr>
          <w:rFonts w:ascii="Times New Roman" w:eastAsia="Calibri" w:hAnsi="Times New Roman" w:cs="Times New Roman"/>
          <w:b/>
          <w:i/>
        </w:rPr>
        <w:t>П</w:t>
      </w:r>
      <w:r w:rsidR="00CB1305" w:rsidRPr="009057FC">
        <w:rPr>
          <w:rFonts w:ascii="Times New Roman" w:eastAsia="Calibri" w:hAnsi="Times New Roman" w:cs="Times New Roman"/>
          <w:b/>
          <w:i/>
        </w:rPr>
        <w:t xml:space="preserve">оказател </w:t>
      </w:r>
      <w:r w:rsidRPr="009057FC">
        <w:rPr>
          <w:rFonts w:ascii="Times New Roman" w:eastAsia="Calibri" w:hAnsi="Times New Roman" w:cs="Times New Roman"/>
          <w:b/>
          <w:i/>
        </w:rPr>
        <w:t>„</w:t>
      </w:r>
      <w:r w:rsidRPr="009057FC">
        <w:rPr>
          <w:rFonts w:ascii="Times New Roman" w:eastAsia="Times New Roman" w:hAnsi="Times New Roman" w:cs="Times New Roman"/>
          <w:b/>
          <w:i/>
          <w:lang w:eastAsia="bg-BG"/>
        </w:rPr>
        <w:t>Намаляване на дела на мигриралото население“</w:t>
      </w:r>
      <w:r w:rsidRPr="009057FC">
        <w:rPr>
          <w:rFonts w:ascii="Times New Roman" w:eastAsia="Times New Roman" w:hAnsi="Times New Roman" w:cs="Times New Roman"/>
          <w:sz w:val="20"/>
          <w:szCs w:val="20"/>
          <w:lang w:eastAsia="bg-BG"/>
        </w:rPr>
        <w:t xml:space="preserve"> </w:t>
      </w:r>
      <w:r w:rsidR="00CB1305" w:rsidRPr="009057FC">
        <w:rPr>
          <w:rFonts w:ascii="Times New Roman" w:eastAsia="Calibri" w:hAnsi="Times New Roman" w:cs="Times New Roman"/>
        </w:rPr>
        <w:t>е свързан с изпълнението на ОПРР 2014-2020 г. Една от основните цели на ОПРР 2014-2020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г.,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r w:rsidR="00FB568B" w:rsidRPr="009057FC">
        <w:rPr>
          <w:rFonts w:ascii="Times New Roman" w:eastAsia="Calibri" w:hAnsi="Times New Roman" w:cs="Times New Roman"/>
        </w:rPr>
        <w:t xml:space="preserve"> Индикаторът измерва и е насочен към изпълнението на </w:t>
      </w:r>
      <w:r w:rsidR="00271F21">
        <w:rPr>
          <w:rFonts w:ascii="Times New Roman" w:eastAsia="Calibri" w:hAnsi="Times New Roman" w:cs="Times New Roman"/>
        </w:rPr>
        <w:t>всички заложени</w:t>
      </w:r>
      <w:r w:rsidR="00FB568B" w:rsidRPr="009057FC">
        <w:rPr>
          <w:rFonts w:ascii="Times New Roman" w:eastAsia="Calibri" w:hAnsi="Times New Roman" w:cs="Times New Roman"/>
        </w:rPr>
        <w:t xml:space="preserve"> стратегически цели по политиката.</w:t>
      </w:r>
    </w:p>
    <w:p w:rsidR="00FB568B" w:rsidRDefault="007222CD" w:rsidP="00A10F5E">
      <w:pPr>
        <w:numPr>
          <w:ilvl w:val="0"/>
          <w:numId w:val="33"/>
        </w:numPr>
        <w:spacing w:after="0" w:line="240" w:lineRule="auto"/>
        <w:ind w:left="0" w:firstLine="567"/>
        <w:jc w:val="both"/>
        <w:rPr>
          <w:rFonts w:ascii="Times New Roman" w:hAnsi="Times New Roman" w:cs="Times New Roman"/>
        </w:rPr>
      </w:pPr>
      <w:r w:rsidRPr="00FB568B">
        <w:rPr>
          <w:rFonts w:ascii="Times New Roman" w:hAnsi="Times New Roman" w:cs="Times New Roman"/>
          <w:b/>
          <w:i/>
        </w:rPr>
        <w:t>Показатели „Брой реконструирани/възстановени културни и исторически обекти“</w:t>
      </w:r>
      <w:r w:rsidR="00FB568B" w:rsidRPr="00FB568B">
        <w:rPr>
          <w:rFonts w:ascii="Times New Roman" w:hAnsi="Times New Roman" w:cs="Times New Roman"/>
          <w:b/>
          <w:i/>
        </w:rPr>
        <w:t>, „Население, възползващо се от мерки за защита от наводнения или горски пожари“, „Общ брой младежи, включени в схеми за младежко предприемачество и инициативи“ и „Брой участници в инициативи за обучение и квалификация“</w:t>
      </w:r>
      <w:r w:rsidR="00FB568B">
        <w:rPr>
          <w:rFonts w:ascii="Times New Roman" w:hAnsi="Times New Roman" w:cs="Times New Roman"/>
          <w:b/>
          <w:i/>
        </w:rPr>
        <w:t xml:space="preserve"> </w:t>
      </w:r>
      <w:r w:rsidR="00FB568B">
        <w:rPr>
          <w:rFonts w:ascii="Times New Roman" w:hAnsi="Times New Roman" w:cs="Times New Roman"/>
        </w:rPr>
        <w:t>измерват стратегическа цел „</w:t>
      </w:r>
      <w:r w:rsidR="00FB568B" w:rsidRPr="00211B4A">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FB568B">
        <w:rPr>
          <w:rFonts w:ascii="Times New Roman" w:hAnsi="Times New Roman" w:cs="Times New Roman"/>
        </w:rPr>
        <w:t>ст и устойчиво градско развитие“.</w:t>
      </w:r>
    </w:p>
    <w:p w:rsidR="00814FE7" w:rsidRPr="0025354B" w:rsidRDefault="00814FE7" w:rsidP="00A10F5E">
      <w:pPr>
        <w:spacing w:after="0" w:line="240" w:lineRule="auto"/>
        <w:jc w:val="both"/>
        <w:rPr>
          <w:rFonts w:ascii="Times New Roman" w:eastAsia="Calibri" w:hAnsi="Times New Roman" w:cs="Times New Roman"/>
          <w:b/>
          <w:i/>
          <w:color w:val="0000CC"/>
        </w:rPr>
      </w:pPr>
    </w:p>
    <w:p w:rsidR="006B2804" w:rsidRDefault="006B2804" w:rsidP="00A10F5E">
      <w:pPr>
        <w:spacing w:after="0" w:line="240" w:lineRule="auto"/>
        <w:ind w:firstLine="567"/>
        <w:jc w:val="both"/>
        <w:rPr>
          <w:rFonts w:ascii="Times New Roman" w:hAnsi="Times New Roman" w:cs="Times New Roman"/>
          <w:b/>
          <w:i/>
          <w:color w:val="0000CC"/>
        </w:rPr>
      </w:pPr>
      <w:r w:rsidRPr="0025354B">
        <w:rPr>
          <w:rFonts w:ascii="Times New Roman" w:eastAsia="Calibri" w:hAnsi="Times New Roman" w:cs="Times New Roman"/>
          <w:b/>
          <w:i/>
          <w:color w:val="0000CC"/>
        </w:rPr>
        <w:t xml:space="preserve">2100.02.00 </w:t>
      </w:r>
      <w:r w:rsidR="00740960" w:rsidRPr="0025354B">
        <w:rPr>
          <w:rFonts w:ascii="Times New Roman" w:eastAsia="Calibri" w:hAnsi="Times New Roman" w:cs="Times New Roman"/>
          <w:b/>
          <w:i/>
          <w:color w:val="0000CC"/>
        </w:rPr>
        <w:t>„</w:t>
      </w:r>
      <w:r w:rsidRPr="0025354B">
        <w:rPr>
          <w:rFonts w:ascii="Times New Roman" w:eastAsia="Calibri" w:hAnsi="Times New Roman" w:cs="Times New Roman"/>
          <w:b/>
          <w:i/>
          <w:color w:val="0000CC"/>
        </w:rPr>
        <w:t>ПОЛИТИКА ЗА ПОДДЪРЖАНЕ,</w:t>
      </w:r>
      <w:r w:rsidRPr="0025354B">
        <w:rPr>
          <w:rFonts w:ascii="Times New Roman" w:eastAsia="Calibri" w:hAnsi="Times New Roman" w:cs="Times New Roman"/>
          <w:b/>
          <w:i/>
          <w:color w:val="0000CC"/>
          <w:lang w:val="en-US"/>
        </w:rPr>
        <w:t xml:space="preserve"> </w:t>
      </w:r>
      <w:r w:rsidRPr="0025354B">
        <w:rPr>
          <w:rFonts w:ascii="Times New Roman" w:eastAsia="Calibri" w:hAnsi="Times New Roman" w:cs="Times New Roman"/>
          <w:b/>
          <w:i/>
          <w:color w:val="0000CC"/>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00740960" w:rsidRPr="0025354B">
        <w:rPr>
          <w:rFonts w:ascii="Times New Roman" w:hAnsi="Times New Roman" w:cs="Times New Roman"/>
          <w:b/>
          <w:i/>
          <w:color w:val="0000CC"/>
        </w:rPr>
        <w:t>“</w:t>
      </w:r>
    </w:p>
    <w:p w:rsidR="00A10F5E" w:rsidRPr="0025354B" w:rsidRDefault="00A10F5E" w:rsidP="00A10F5E">
      <w:pPr>
        <w:spacing w:after="0" w:line="240" w:lineRule="auto"/>
        <w:ind w:firstLine="567"/>
        <w:jc w:val="both"/>
        <w:rPr>
          <w:rFonts w:ascii="Times New Roman" w:eastAsia="Calibri" w:hAnsi="Times New Roman" w:cs="Times New Roman"/>
          <w:b/>
          <w:i/>
          <w:color w:val="0000CC"/>
        </w:rPr>
      </w:pPr>
    </w:p>
    <w:p w:rsidR="006B2804" w:rsidRPr="0025354B" w:rsidRDefault="006B2804" w:rsidP="00A10F5E">
      <w:pPr>
        <w:pStyle w:val="ListParagraph"/>
        <w:numPr>
          <w:ilvl w:val="0"/>
          <w:numId w:val="1"/>
        </w:numPr>
        <w:spacing w:after="0" w:line="240" w:lineRule="auto"/>
        <w:ind w:firstLine="65"/>
        <w:jc w:val="both"/>
        <w:rPr>
          <w:rFonts w:ascii="Times New Roman" w:hAnsi="Times New Roman" w:cs="Times New Roman"/>
          <w:b/>
          <w:i/>
          <w:color w:val="0000CC"/>
        </w:rPr>
      </w:pPr>
      <w:r w:rsidRPr="0025354B">
        <w:rPr>
          <w:rFonts w:ascii="Times New Roman" w:hAnsi="Times New Roman" w:cs="Times New Roman"/>
          <w:b/>
          <w:i/>
          <w:color w:val="0000CC"/>
        </w:rPr>
        <w:t>Кратко описание на обхвата на областта на политиката, за която ПРБ отговаря</w:t>
      </w:r>
    </w:p>
    <w:p w:rsidR="001126A5" w:rsidRPr="001126A5" w:rsidRDefault="001126A5" w:rsidP="00A10F5E">
      <w:pPr>
        <w:pStyle w:val="ListParagraph"/>
        <w:tabs>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lang w:val="en-US"/>
        </w:rPr>
        <w:t>Политиката е тясно обвързана с мерките и приоритетите на министерството, съгласно стратегическите документи в областта на регионалното развитие, модернизация на пътната инфраструктура, водния сектор и в областта на реализацията на дейностите по благоустройството и геозащитата.</w:t>
      </w:r>
      <w:r w:rsidRPr="001126A5">
        <w:rPr>
          <w:rFonts w:ascii="Times New Roman" w:eastAsia="Times New Roman" w:hAnsi="Times New Roman" w:cs="Times New Roman"/>
          <w:lang w:eastAsia="bg-BG"/>
        </w:rPr>
        <w:t xml:space="preserve"> </w:t>
      </w:r>
      <w:r w:rsidRPr="001126A5">
        <w:rPr>
          <w:rFonts w:ascii="Times New Roman" w:hAnsi="Times New Roman" w:cs="Times New Roman"/>
          <w:color w:val="000000"/>
        </w:rPr>
        <w:t>Визията за развитие на политиката е свързана с дейности за управление, поддържане и изграждане на „ВиК“ инфраструктурата, с цел осигуряване на съответствие с директивите на Европейския съюз в областта на водите и устойчивост при предоставяне на „ВиК“ услуги</w:t>
      </w:r>
      <w:r>
        <w:rPr>
          <w:rFonts w:ascii="Times New Roman" w:hAnsi="Times New Roman" w:cs="Times New Roman"/>
          <w:color w:val="000000"/>
        </w:rPr>
        <w:t>те, както и о</w:t>
      </w:r>
      <w:r w:rsidRPr="001126A5">
        <w:rPr>
          <w:rFonts w:ascii="Times New Roman" w:hAnsi="Times New Roman" w:cs="Times New Roman"/>
          <w:color w:val="000000"/>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rsidR="001126A5" w:rsidRPr="001126A5" w:rsidRDefault="001126A5" w:rsidP="00A10F5E">
      <w:pPr>
        <w:pStyle w:val="ListParagraph"/>
        <w:tabs>
          <w:tab w:val="left" w:pos="851"/>
        </w:tabs>
        <w:spacing w:after="0" w:line="240" w:lineRule="auto"/>
        <w:ind w:hanging="153"/>
        <w:rPr>
          <w:rFonts w:ascii="Times New Roman" w:hAnsi="Times New Roman" w:cs="Times New Roman"/>
          <w:b/>
          <w:i/>
          <w:color w:val="000000"/>
        </w:rPr>
      </w:pPr>
      <w:r w:rsidRPr="001126A5">
        <w:rPr>
          <w:rFonts w:ascii="Times New Roman" w:hAnsi="Times New Roman" w:cs="Times New Roman"/>
          <w:b/>
          <w:i/>
          <w:color w:val="000000"/>
        </w:rPr>
        <w:t>Стратегически цели</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lastRenderedPageBreak/>
        <w:t>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ще бъдат тарифирани и товарните автомобили над 3.5 т.;</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 xml:space="preserve">Изграждане на модерна и безопасна пътна инфраструктура. Завършване на магистралния пръстен на страната. Приоритетни обекти са </w:t>
      </w:r>
      <w:r w:rsidR="00A00E23">
        <w:rPr>
          <w:rFonts w:ascii="Times New Roman" w:hAnsi="Times New Roman" w:cs="Times New Roman"/>
          <w:color w:val="000000"/>
        </w:rPr>
        <w:t>„</w:t>
      </w:r>
      <w:r w:rsidRPr="001126A5">
        <w:rPr>
          <w:rFonts w:ascii="Times New Roman" w:hAnsi="Times New Roman" w:cs="Times New Roman"/>
          <w:color w:val="000000"/>
        </w:rPr>
        <w:t>Доизграждане на автомагистрала „Струма”, АМ „Хемус“, Обход на Габрово, АМ „Европа“, Скоростен път Видин – Ботевград, AM „Русе – Велико Търново“, AM „Черно море“;</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r w:rsidR="00A00E23">
        <w:rPr>
          <w:rFonts w:ascii="Times New Roman" w:hAnsi="Times New Roman" w:cs="Times New Roman"/>
          <w:color w:val="000000"/>
        </w:rPr>
        <w:t xml:space="preserve"> </w:t>
      </w:r>
      <w:r w:rsidRPr="001126A5">
        <w:rPr>
          <w:rFonts w:ascii="Times New Roman" w:hAnsi="Times New Roman" w:cs="Times New Roman"/>
          <w:color w:val="000000"/>
        </w:rPr>
        <w:t>Осигуряване съпоставимо с европейската практика високо ниво на транспортна достъпност на територията на Република България;</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Качествено транспортно обслужване по общинските пътища;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Подобряване на качеството на жизнената среда;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Нормативна и приложна дейност в областта на пътната инфраструктура;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Постигане на 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Pr>
          <w:rFonts w:ascii="Times New Roman" w:hAnsi="Times New Roman" w:cs="Times New Roman"/>
          <w:color w:val="000000"/>
        </w:rPr>
        <w:t>нето и пречистването на водите.</w:t>
      </w:r>
      <w:r w:rsidR="00790809">
        <w:rPr>
          <w:rFonts w:ascii="Times New Roman" w:hAnsi="Times New Roman" w:cs="Times New Roman"/>
          <w:color w:val="000000"/>
        </w:rPr>
        <w:t xml:space="preserve"> </w:t>
      </w:r>
      <w:r w:rsidRPr="001126A5">
        <w:rPr>
          <w:rFonts w:ascii="Times New Roman" w:hAnsi="Times New Roman" w:cs="Times New Roman"/>
          <w:color w:val="000000"/>
        </w:rPr>
        <w:t>Съответствие с европейските директиви в областта на питейните и отпадъчните води;</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Съответствие с европейските директиви в областта на питейните и отпадъчните води;</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Повишаване ефективността на инвестициите чрез планиране на регионално ниво;</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 xml:space="preserve">Повишаване ефективността при предоставяне на „ВиК“ услугите; </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Рехабилитация и реконструкция на съществуващите водоснабдителни системи за питейна вода;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Подобряване на качеството на питейната вода;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Отвеждане на отпадъчните води от населените места и пречистването им;</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lastRenderedPageBreak/>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C460C8" w:rsidRPr="00CD19BF" w:rsidRDefault="00C460C8" w:rsidP="00A10F5E">
      <w:pPr>
        <w:pStyle w:val="ListParagraph"/>
        <w:tabs>
          <w:tab w:val="left" w:pos="851"/>
        </w:tabs>
        <w:spacing w:after="0" w:line="240" w:lineRule="auto"/>
        <w:ind w:left="567"/>
        <w:jc w:val="both"/>
        <w:rPr>
          <w:rFonts w:ascii="Times New Roman" w:hAnsi="Times New Roman" w:cs="Times New Roman"/>
          <w:color w:val="000000"/>
          <w:sz w:val="14"/>
          <w:lang w:val="en-US"/>
        </w:rPr>
      </w:pPr>
    </w:p>
    <w:p w:rsidR="00135D80" w:rsidRPr="0025354B" w:rsidRDefault="006B2804"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Отговорност за разпределението на публичните разходи за политиката</w:t>
      </w:r>
    </w:p>
    <w:p w:rsidR="00135D80" w:rsidRPr="0025354B" w:rsidRDefault="00135D80" w:rsidP="00A10F5E">
      <w:pPr>
        <w:pStyle w:val="ListParagraph"/>
        <w:numPr>
          <w:ilvl w:val="0"/>
          <w:numId w:val="4"/>
        </w:numPr>
        <w:spacing w:after="0" w:line="240" w:lineRule="auto"/>
        <w:ind w:left="1134" w:firstLine="0"/>
        <w:jc w:val="both"/>
        <w:rPr>
          <w:rFonts w:ascii="Times New Roman" w:hAnsi="Times New Roman" w:cs="Times New Roman"/>
          <w:b/>
          <w:i/>
          <w:color w:val="0000CC"/>
        </w:rPr>
      </w:pPr>
      <w:r w:rsidRPr="0025354B">
        <w:rPr>
          <w:rFonts w:ascii="Times New Roman" w:hAnsi="Times New Roman" w:cs="Times New Roman"/>
          <w:b/>
          <w:i/>
          <w:color w:val="0000CC"/>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tbl>
      <w:tblPr>
        <w:tblW w:w="9634" w:type="dxa"/>
        <w:tblInd w:w="75" w:type="dxa"/>
        <w:tblCellMar>
          <w:left w:w="70" w:type="dxa"/>
          <w:right w:w="70" w:type="dxa"/>
        </w:tblCellMar>
        <w:tblLook w:val="04A0" w:firstRow="1" w:lastRow="0" w:firstColumn="1" w:lastColumn="0" w:noHBand="0" w:noVBand="1"/>
      </w:tblPr>
      <w:tblGrid>
        <w:gridCol w:w="4531"/>
        <w:gridCol w:w="1580"/>
        <w:gridCol w:w="1113"/>
        <w:gridCol w:w="1134"/>
        <w:gridCol w:w="1276"/>
      </w:tblGrid>
      <w:tr w:rsidR="005348E4" w:rsidRPr="005348E4" w:rsidTr="00CD19BF">
        <w:trPr>
          <w:trHeight w:val="480"/>
        </w:trPr>
        <w:tc>
          <w:tcPr>
            <w:tcW w:w="453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Област на политика (в хил.лв.)</w:t>
            </w:r>
          </w:p>
        </w:tc>
        <w:tc>
          <w:tcPr>
            <w:tcW w:w="1580"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 </w:t>
            </w:r>
          </w:p>
        </w:tc>
        <w:tc>
          <w:tcPr>
            <w:tcW w:w="1113"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Общо разходи</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По бюджета на ПРБ</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CD19BF">
              <w:rPr>
                <w:rFonts w:ascii="Times New Roman" w:eastAsia="Times New Roman" w:hAnsi="Times New Roman" w:cs="Times New Roman"/>
                <w:b/>
                <w:bCs/>
                <w:i/>
                <w:iCs/>
                <w:color w:val="000000"/>
                <w:sz w:val="16"/>
                <w:szCs w:val="18"/>
                <w:lang w:eastAsia="bg-BG"/>
              </w:rPr>
              <w:t>По други бюджети и сметки за СЕС</w:t>
            </w:r>
          </w:p>
        </w:tc>
      </w:tr>
      <w:tr w:rsidR="005348E4" w:rsidRPr="005348E4" w:rsidTr="00CD19BF">
        <w:trPr>
          <w:trHeight w:val="269"/>
        </w:trPr>
        <w:tc>
          <w:tcPr>
            <w:tcW w:w="4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1580"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Проект 2022 г.</w:t>
            </w:r>
          </w:p>
        </w:tc>
        <w:tc>
          <w:tcPr>
            <w:tcW w:w="1113"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984 418,9</w:t>
            </w:r>
          </w:p>
        </w:tc>
        <w:tc>
          <w:tcPr>
            <w:tcW w:w="1134"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900 727,0</w:t>
            </w:r>
          </w:p>
        </w:tc>
        <w:tc>
          <w:tcPr>
            <w:tcW w:w="1276"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83 691,9</w:t>
            </w:r>
          </w:p>
        </w:tc>
      </w:tr>
      <w:tr w:rsidR="005348E4" w:rsidRPr="005348E4" w:rsidTr="00CD19BF">
        <w:trPr>
          <w:trHeight w:val="269"/>
        </w:trPr>
        <w:tc>
          <w:tcPr>
            <w:tcW w:w="4531"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580"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2023 г.</w:t>
            </w:r>
          </w:p>
        </w:tc>
        <w:tc>
          <w:tcPr>
            <w:tcW w:w="1113"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1 015 584,2</w:t>
            </w:r>
          </w:p>
        </w:tc>
        <w:tc>
          <w:tcPr>
            <w:tcW w:w="1134"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941 611,0</w:t>
            </w:r>
          </w:p>
        </w:tc>
        <w:tc>
          <w:tcPr>
            <w:tcW w:w="1276"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73 973,2</w:t>
            </w:r>
          </w:p>
        </w:tc>
      </w:tr>
      <w:tr w:rsidR="005348E4" w:rsidRPr="005348E4" w:rsidTr="00CD19BF">
        <w:trPr>
          <w:trHeight w:val="270"/>
        </w:trPr>
        <w:tc>
          <w:tcPr>
            <w:tcW w:w="4531"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580"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2024 г.</w:t>
            </w:r>
          </w:p>
        </w:tc>
        <w:tc>
          <w:tcPr>
            <w:tcW w:w="1113"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1 009 034,4</w:t>
            </w:r>
          </w:p>
        </w:tc>
        <w:tc>
          <w:tcPr>
            <w:tcW w:w="1134" w:type="dxa"/>
            <w:tcBorders>
              <w:top w:val="nil"/>
              <w:left w:val="nil"/>
              <w:bottom w:val="single" w:sz="4" w:space="0" w:color="auto"/>
              <w:right w:val="single" w:sz="4" w:space="0" w:color="auto"/>
            </w:tcBorders>
            <w:shd w:val="clear" w:color="000000" w:fill="F2F2F2"/>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942 689,0</w:t>
            </w:r>
          </w:p>
        </w:tc>
        <w:tc>
          <w:tcPr>
            <w:tcW w:w="1276"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66 345,4</w:t>
            </w:r>
          </w:p>
        </w:tc>
      </w:tr>
    </w:tbl>
    <w:p w:rsidR="00AA08F4" w:rsidRDefault="00AA08F4" w:rsidP="00A10F5E">
      <w:pPr>
        <w:pStyle w:val="ListParagraph"/>
        <w:tabs>
          <w:tab w:val="left" w:pos="851"/>
        </w:tabs>
        <w:spacing w:after="0" w:line="240" w:lineRule="auto"/>
        <w:jc w:val="both"/>
        <w:rPr>
          <w:rFonts w:ascii="Times New Roman" w:hAnsi="Times New Roman" w:cs="Times New Roman"/>
          <w:b/>
          <w:i/>
        </w:rPr>
      </w:pPr>
    </w:p>
    <w:p w:rsidR="00C626ED" w:rsidRDefault="006B2804" w:rsidP="00B57C85">
      <w:pPr>
        <w:pStyle w:val="ListParagraph"/>
        <w:numPr>
          <w:ilvl w:val="0"/>
          <w:numId w:val="1"/>
        </w:numPr>
        <w:spacing w:after="0" w:line="240" w:lineRule="auto"/>
        <w:ind w:firstLine="65"/>
        <w:jc w:val="both"/>
        <w:rPr>
          <w:rFonts w:ascii="Times New Roman" w:hAnsi="Times New Roman" w:cs="Times New Roman"/>
          <w:b/>
          <w:i/>
          <w:color w:val="0000CC"/>
        </w:rPr>
      </w:pPr>
      <w:r w:rsidRPr="00281129">
        <w:rPr>
          <w:rFonts w:ascii="Times New Roman" w:hAnsi="Times New Roman" w:cs="Times New Roman"/>
          <w:b/>
          <w:i/>
          <w:color w:val="0000CC"/>
        </w:rPr>
        <w:t>Ключови индикатори и целеви стойности (попълва се за всяка област на политика)</w:t>
      </w:r>
    </w:p>
    <w:p w:rsidR="00B84556" w:rsidRDefault="00B84556" w:rsidP="00A10F5E">
      <w:pPr>
        <w:spacing w:after="0" w:line="240" w:lineRule="auto"/>
        <w:rPr>
          <w:rFonts w:ascii="Times New Roman" w:hAnsi="Times New Roman" w:cs="Times New Roman"/>
          <w:b/>
          <w:bCs/>
          <w:sz w:val="16"/>
          <w:szCs w:val="16"/>
        </w:rPr>
      </w:pPr>
      <w:r w:rsidRPr="009A1627">
        <w:rPr>
          <w:rFonts w:ascii="Times New Roman" w:hAnsi="Times New Roman" w:cs="Times New Roman"/>
          <w:b/>
          <w:bCs/>
          <w:sz w:val="16"/>
          <w:szCs w:val="16"/>
        </w:rPr>
        <w:t>КЛЮЧОВИ ИНДИКАТОРИ ЗА ИЗПЪЛНЕНИЕ И ЦЕЛЕВИ СТОЙНОСТИ</w:t>
      </w:r>
    </w:p>
    <w:tbl>
      <w:tblPr>
        <w:tblStyle w:val="TableGrid1"/>
        <w:tblW w:w="1105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851"/>
        <w:gridCol w:w="1275"/>
        <w:gridCol w:w="1134"/>
        <w:gridCol w:w="1267"/>
        <w:gridCol w:w="9"/>
        <w:gridCol w:w="1276"/>
      </w:tblGrid>
      <w:tr w:rsidR="002A5BB3" w:rsidRPr="00FB714C" w:rsidTr="000D33E0">
        <w:trPr>
          <w:gridAfter w:val="2"/>
          <w:wAfter w:w="1285" w:type="dxa"/>
          <w:trHeight w:val="566"/>
        </w:trPr>
        <w:tc>
          <w:tcPr>
            <w:tcW w:w="5245" w:type="dxa"/>
          </w:tcPr>
          <w:p w:rsidR="002A5BB3" w:rsidRPr="00FB714C" w:rsidRDefault="002A5BB3" w:rsidP="00A10F5E">
            <w:pPr>
              <w:jc w:val="center"/>
              <w:rPr>
                <w:rFonts w:ascii="Times New Roman" w:hAnsi="Times New Roman" w:cs="Times New Roman"/>
                <w:i/>
                <w:iCs/>
                <w:sz w:val="20"/>
                <w:szCs w:val="20"/>
              </w:rPr>
            </w:pPr>
            <w:r w:rsidRPr="00FB714C">
              <w:rPr>
                <w:rFonts w:ascii="Times New Roman" w:hAnsi="Times New Roman" w:cs="Times New Roman"/>
                <w:i/>
                <w:iCs/>
                <w:sz w:val="20"/>
                <w:szCs w:val="20"/>
              </w:rPr>
              <w:t>Област на политика:</w:t>
            </w:r>
          </w:p>
          <w:p w:rsidR="002A5BB3" w:rsidRPr="00FB714C" w:rsidRDefault="002A5BB3" w:rsidP="00A10F5E">
            <w:pPr>
              <w:ind w:right="-316"/>
              <w:rPr>
                <w:rFonts w:ascii="Times New Roman" w:hAnsi="Times New Roman" w:cs="Times New Roman"/>
                <w:b/>
                <w:bCs/>
                <w:sz w:val="20"/>
                <w:szCs w:val="20"/>
              </w:rPr>
            </w:pPr>
            <w:r w:rsidRPr="00FB714C">
              <w:rPr>
                <w:rFonts w:ascii="Times New Roman" w:eastAsia="Times New Roman" w:hAnsi="Times New Roman" w:cs="Times New Roman"/>
                <w:color w:val="000000"/>
                <w:sz w:val="20"/>
                <w:szCs w:val="20"/>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1" w:type="dxa"/>
            <w:vMerge w:val="restart"/>
            <w:shd w:val="clear" w:color="auto" w:fill="F2F2F2" w:themeFill="background1" w:themeFillShade="F2"/>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Мерна единица</w:t>
            </w:r>
          </w:p>
        </w:tc>
        <w:tc>
          <w:tcPr>
            <w:tcW w:w="3676" w:type="dxa"/>
            <w:gridSpan w:val="3"/>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Целева стойност</w:t>
            </w:r>
          </w:p>
        </w:tc>
      </w:tr>
      <w:tr w:rsidR="002A5BB3" w:rsidRPr="00FB714C" w:rsidTr="000D33E0">
        <w:trPr>
          <w:gridAfter w:val="1"/>
          <w:wAfter w:w="1276" w:type="dxa"/>
          <w:trHeight w:val="115"/>
        </w:trPr>
        <w:tc>
          <w:tcPr>
            <w:tcW w:w="5245" w:type="dxa"/>
            <w:tcBorders>
              <w:bottom w:val="single" w:sz="4" w:space="0" w:color="auto"/>
            </w:tcBorders>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Наименование на индикатора</w:t>
            </w:r>
          </w:p>
        </w:tc>
        <w:tc>
          <w:tcPr>
            <w:tcW w:w="851" w:type="dxa"/>
            <w:vMerge/>
            <w:tcBorders>
              <w:bottom w:val="single" w:sz="4" w:space="0" w:color="auto"/>
            </w:tcBorders>
            <w:shd w:val="clear" w:color="auto" w:fill="F2F2F2" w:themeFill="background1" w:themeFillShade="F2"/>
          </w:tcPr>
          <w:p w:rsidR="002A5BB3" w:rsidRPr="00FB714C" w:rsidRDefault="002A5BB3" w:rsidP="00A10F5E">
            <w:pPr>
              <w:jc w:val="center"/>
              <w:rPr>
                <w:rFonts w:ascii="Times New Roman" w:hAnsi="Times New Roman" w:cs="Times New Roman"/>
                <w:b/>
                <w:bCs/>
                <w:sz w:val="20"/>
                <w:szCs w:val="20"/>
              </w:rPr>
            </w:pPr>
          </w:p>
        </w:tc>
        <w:tc>
          <w:tcPr>
            <w:tcW w:w="1275" w:type="dxa"/>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w:t>
            </w:r>
            <w:r w:rsidR="00FE0B47">
              <w:rPr>
                <w:rFonts w:ascii="Times New Roman" w:hAnsi="Times New Roman" w:cs="Times New Roman"/>
                <w:b/>
                <w:bCs/>
                <w:i/>
                <w:iCs/>
                <w:sz w:val="20"/>
                <w:szCs w:val="20"/>
              </w:rPr>
              <w:t>ект</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2</w:t>
            </w:r>
            <w:r w:rsidRPr="00FB714C">
              <w:rPr>
                <w:rFonts w:ascii="Times New Roman" w:hAnsi="Times New Roman" w:cs="Times New Roman"/>
                <w:b/>
                <w:bCs/>
                <w:i/>
                <w:iCs/>
                <w:sz w:val="20"/>
                <w:szCs w:val="20"/>
              </w:rPr>
              <w:t xml:space="preserve"> г.</w:t>
            </w:r>
          </w:p>
        </w:tc>
        <w:tc>
          <w:tcPr>
            <w:tcW w:w="1134" w:type="dxa"/>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3</w:t>
            </w:r>
            <w:r w:rsidRPr="00FB714C">
              <w:rPr>
                <w:rFonts w:ascii="Times New Roman" w:hAnsi="Times New Roman" w:cs="Times New Roman"/>
                <w:b/>
                <w:bCs/>
                <w:i/>
                <w:iCs/>
                <w:sz w:val="20"/>
                <w:szCs w:val="20"/>
              </w:rPr>
              <w:t xml:space="preserve"> г.</w:t>
            </w:r>
          </w:p>
        </w:tc>
        <w:tc>
          <w:tcPr>
            <w:tcW w:w="1276" w:type="dxa"/>
            <w:gridSpan w:val="2"/>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4</w:t>
            </w:r>
            <w:r w:rsidRPr="00FB714C">
              <w:rPr>
                <w:rFonts w:ascii="Times New Roman" w:hAnsi="Times New Roman" w:cs="Times New Roman"/>
                <w:b/>
                <w:bCs/>
                <w:i/>
                <w:iCs/>
                <w:sz w:val="20"/>
                <w:szCs w:val="20"/>
              </w:rPr>
              <w:t xml:space="preserve"> г.</w:t>
            </w:r>
          </w:p>
        </w:tc>
      </w:tr>
      <w:tr w:rsidR="00AA08F4" w:rsidRPr="00FB714C" w:rsidTr="00A10F5E">
        <w:trPr>
          <w:gridAfter w:val="1"/>
          <w:wAfter w:w="1276" w:type="dxa"/>
          <w:trHeight w:val="246"/>
        </w:trPr>
        <w:tc>
          <w:tcPr>
            <w:tcW w:w="5245" w:type="dxa"/>
            <w:tcBorders>
              <w:top w:val="single" w:sz="4" w:space="0" w:color="auto"/>
              <w:bottom w:val="single" w:sz="4" w:space="0" w:color="auto"/>
            </w:tcBorders>
            <w:vAlign w:val="center"/>
          </w:tcPr>
          <w:p w:rsidR="00AA08F4" w:rsidRPr="00FB714C" w:rsidRDefault="00AA08F4" w:rsidP="00A10F5E">
            <w:pPr>
              <w:rPr>
                <w:rFonts w:ascii="Times New Roman" w:hAnsi="Times New Roman" w:cs="Times New Roman"/>
                <w:b/>
                <w:bCs/>
                <w:sz w:val="20"/>
                <w:szCs w:val="20"/>
              </w:rPr>
            </w:pPr>
            <w:r w:rsidRPr="00FB714C">
              <w:rPr>
                <w:rFonts w:ascii="Times New Roman" w:hAnsi="Times New Roman" w:cs="Times New Roman"/>
                <w:sz w:val="20"/>
                <w:szCs w:val="20"/>
              </w:rPr>
              <w:t>1.</w:t>
            </w:r>
            <w:r w:rsidRPr="00FB714C">
              <w:rPr>
                <w:rFonts w:ascii="Times New Roman" w:hAnsi="Times New Roman" w:cs="Times New Roman"/>
                <w:b/>
                <w:sz w:val="20"/>
                <w:szCs w:val="20"/>
              </w:rPr>
              <w:t xml:space="preserve"> </w:t>
            </w:r>
            <w:r w:rsidRPr="00FB714C">
              <w:rPr>
                <w:rFonts w:ascii="Times New Roman" w:hAnsi="Times New Roman" w:cs="Times New Roman"/>
                <w:sz w:val="20"/>
                <w:szCs w:val="20"/>
              </w:rPr>
              <w:t>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услугата отвеждане и пречистване на отпадъчните води.</w:t>
            </w:r>
          </w:p>
        </w:tc>
        <w:tc>
          <w:tcPr>
            <w:tcW w:w="851" w:type="dxa"/>
            <w:tcBorders>
              <w:top w:val="single" w:sz="4" w:space="0" w:color="auto"/>
              <w:bottom w:val="single" w:sz="4" w:space="0" w:color="auto"/>
            </w:tcBorders>
            <w:shd w:val="clear" w:color="auto" w:fill="F2F2F2" w:themeFill="background1" w:themeFillShade="F2"/>
            <w:vAlign w:val="center"/>
          </w:tcPr>
          <w:p w:rsidR="00AA08F4" w:rsidRPr="00FB714C" w:rsidRDefault="00AA08F4" w:rsidP="00A10F5E">
            <w:pPr>
              <w:rPr>
                <w:rFonts w:ascii="Times New Roman" w:hAnsi="Times New Roman" w:cs="Times New Roman"/>
                <w:sz w:val="20"/>
                <w:szCs w:val="20"/>
              </w:rPr>
            </w:pPr>
          </w:p>
          <w:p w:rsidR="00AA08F4" w:rsidRPr="00FB714C" w:rsidRDefault="00AA08F4" w:rsidP="00A10F5E">
            <w:pPr>
              <w:rPr>
                <w:rFonts w:ascii="Times New Roman" w:hAnsi="Times New Roman" w:cs="Times New Roman"/>
                <w:sz w:val="20"/>
                <w:szCs w:val="20"/>
              </w:rPr>
            </w:pPr>
            <w:r w:rsidRPr="00FB714C">
              <w:rPr>
                <w:rFonts w:ascii="Times New Roman" w:hAnsi="Times New Roman" w:cs="Times New Roman"/>
                <w:sz w:val="20"/>
                <w:szCs w:val="20"/>
              </w:rPr>
              <w:t>брой</w:t>
            </w:r>
          </w:p>
          <w:p w:rsidR="00AA08F4" w:rsidRPr="00FB714C" w:rsidRDefault="00AA08F4" w:rsidP="00A10F5E">
            <w:pPr>
              <w:rPr>
                <w:rFonts w:ascii="Times New Roman" w:hAnsi="Times New Roman" w:cs="Times New Roman"/>
                <w:b/>
                <w:bCs/>
                <w:sz w:val="20"/>
                <w:szCs w:val="20"/>
                <w:lang w:val="en-US"/>
              </w:rPr>
            </w:pPr>
            <w:r w:rsidRPr="00FB714C">
              <w:rPr>
                <w:rFonts w:ascii="Times New Roman" w:hAnsi="Times New Roman" w:cs="Times New Roman"/>
                <w:sz w:val="20"/>
                <w:szCs w:val="20"/>
              </w:rPr>
              <w:t>жители</w:t>
            </w:r>
          </w:p>
        </w:tc>
        <w:tc>
          <w:tcPr>
            <w:tcW w:w="1275" w:type="dxa"/>
            <w:tcBorders>
              <w:top w:val="single" w:sz="4" w:space="0" w:color="auto"/>
              <w:bottom w:val="single" w:sz="4" w:space="0" w:color="auto"/>
            </w:tcBorders>
            <w:vAlign w:val="center"/>
          </w:tcPr>
          <w:p w:rsidR="00AA08F4" w:rsidRPr="00FB714C" w:rsidRDefault="00AA08F4" w:rsidP="00A10F5E">
            <w:pPr>
              <w:jc w:val="right"/>
              <w:rPr>
                <w:rFonts w:ascii="Times New Roman" w:hAnsi="Times New Roman" w:cs="Times New Roman"/>
                <w:bCs/>
                <w:sz w:val="20"/>
                <w:szCs w:val="20"/>
              </w:rPr>
            </w:pPr>
          </w:p>
          <w:p w:rsidR="00AA08F4" w:rsidRPr="00FB714C" w:rsidRDefault="00AA08F4" w:rsidP="00A10F5E">
            <w:pPr>
              <w:jc w:val="right"/>
              <w:rPr>
                <w:rFonts w:ascii="Times New Roman" w:hAnsi="Times New Roman" w:cs="Times New Roman"/>
                <w:bCs/>
                <w:sz w:val="20"/>
                <w:szCs w:val="20"/>
              </w:rPr>
            </w:pPr>
          </w:p>
          <w:p w:rsidR="00AA08F4" w:rsidRPr="00FB714C" w:rsidRDefault="00642CF6" w:rsidP="00A10F5E">
            <w:pPr>
              <w:jc w:val="right"/>
              <w:rPr>
                <w:rFonts w:ascii="Times New Roman" w:hAnsi="Times New Roman" w:cs="Times New Roman"/>
                <w:bCs/>
                <w:sz w:val="20"/>
                <w:szCs w:val="20"/>
                <w:lang w:val="en-US"/>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w:t>
            </w:r>
            <w:r w:rsidR="00AA08F4" w:rsidRPr="00FB714C">
              <w:rPr>
                <w:rFonts w:ascii="Times New Roman" w:hAnsi="Times New Roman" w:cs="Times New Roman"/>
                <w:bCs/>
                <w:sz w:val="20"/>
                <w:szCs w:val="20"/>
                <w:lang w:val="en-US"/>
              </w:rPr>
              <w:t xml:space="preserve"> 000</w:t>
            </w:r>
          </w:p>
        </w:tc>
        <w:tc>
          <w:tcPr>
            <w:tcW w:w="1134" w:type="dxa"/>
            <w:tcBorders>
              <w:top w:val="single" w:sz="4" w:space="0" w:color="auto"/>
              <w:bottom w:val="single" w:sz="4" w:space="0" w:color="auto"/>
            </w:tcBorders>
            <w:vAlign w:val="center"/>
          </w:tcPr>
          <w:p w:rsidR="00AA08F4" w:rsidRPr="00FB714C" w:rsidRDefault="00AA08F4" w:rsidP="00A10F5E">
            <w:pPr>
              <w:jc w:val="right"/>
              <w:rPr>
                <w:rFonts w:ascii="Times New Roman" w:hAnsi="Times New Roman" w:cs="Times New Roman"/>
                <w:bCs/>
                <w:sz w:val="20"/>
                <w:szCs w:val="20"/>
              </w:rPr>
            </w:pPr>
          </w:p>
          <w:p w:rsidR="00AA08F4" w:rsidRPr="00FB714C" w:rsidRDefault="00AA08F4" w:rsidP="00A10F5E">
            <w:pPr>
              <w:jc w:val="right"/>
              <w:rPr>
                <w:rFonts w:ascii="Times New Roman" w:hAnsi="Times New Roman" w:cs="Times New Roman"/>
                <w:bCs/>
                <w:sz w:val="20"/>
                <w:szCs w:val="20"/>
              </w:rPr>
            </w:pPr>
          </w:p>
          <w:p w:rsidR="00AA08F4" w:rsidRPr="00FB714C" w:rsidRDefault="00642CF6" w:rsidP="00A10F5E">
            <w:pPr>
              <w:jc w:val="right"/>
              <w:rPr>
                <w:rFonts w:ascii="Times New Roman" w:hAnsi="Times New Roman" w:cs="Times New Roman"/>
                <w:bCs/>
                <w:sz w:val="20"/>
                <w:szCs w:val="20"/>
                <w:lang w:val="en-US"/>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w:t>
            </w:r>
            <w:r w:rsidR="00AA08F4" w:rsidRPr="00FB714C">
              <w:rPr>
                <w:rFonts w:ascii="Times New Roman" w:hAnsi="Times New Roman" w:cs="Times New Roman"/>
                <w:bCs/>
                <w:sz w:val="20"/>
                <w:szCs w:val="20"/>
                <w:lang w:val="en-US"/>
              </w:rPr>
              <w:t xml:space="preserve"> 000</w:t>
            </w:r>
          </w:p>
        </w:tc>
        <w:tc>
          <w:tcPr>
            <w:tcW w:w="1276" w:type="dxa"/>
            <w:gridSpan w:val="2"/>
            <w:tcBorders>
              <w:top w:val="single" w:sz="4" w:space="0" w:color="auto"/>
              <w:bottom w:val="single" w:sz="4" w:space="0" w:color="auto"/>
            </w:tcBorders>
            <w:vAlign w:val="center"/>
          </w:tcPr>
          <w:p w:rsidR="00AA08F4" w:rsidRPr="00FB714C" w:rsidRDefault="00AA08F4" w:rsidP="00A10F5E">
            <w:pPr>
              <w:jc w:val="right"/>
              <w:rPr>
                <w:rFonts w:ascii="Times New Roman" w:hAnsi="Times New Roman" w:cs="Times New Roman"/>
                <w:b/>
                <w:bCs/>
                <w:sz w:val="20"/>
                <w:szCs w:val="20"/>
              </w:rPr>
            </w:pPr>
          </w:p>
          <w:p w:rsidR="00AA08F4" w:rsidRPr="00FB714C" w:rsidRDefault="00AA08F4" w:rsidP="00A10F5E">
            <w:pPr>
              <w:jc w:val="right"/>
              <w:rPr>
                <w:rFonts w:ascii="Times New Roman" w:hAnsi="Times New Roman" w:cs="Times New Roman"/>
                <w:b/>
                <w:bCs/>
                <w:sz w:val="20"/>
                <w:szCs w:val="20"/>
              </w:rPr>
            </w:pPr>
          </w:p>
          <w:p w:rsidR="00AA08F4" w:rsidRPr="00FB714C" w:rsidRDefault="00642CF6" w:rsidP="00A10F5E">
            <w:pPr>
              <w:jc w:val="right"/>
              <w:rPr>
                <w:rFonts w:ascii="Times New Roman" w:hAnsi="Times New Roman" w:cs="Times New Roman"/>
                <w:bCs/>
                <w:sz w:val="20"/>
                <w:szCs w:val="20"/>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0 000</w:t>
            </w:r>
          </w:p>
        </w:tc>
      </w:tr>
      <w:tr w:rsidR="001A53D6" w:rsidRPr="00FB714C" w:rsidTr="00A10F5E">
        <w:trPr>
          <w:gridAfter w:val="1"/>
          <w:wAfter w:w="1276" w:type="dxa"/>
          <w:trHeight w:val="48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2</w:t>
            </w:r>
            <w:r w:rsidR="001A53D6" w:rsidRPr="00FB714C">
              <w:rPr>
                <w:rFonts w:ascii="Times New Roman" w:hAnsi="Times New Roman" w:cs="Times New Roman"/>
                <w:sz w:val="20"/>
                <w:szCs w:val="20"/>
              </w:rPr>
              <w:t>. Решения на Министерския съвет за изменения и допълнения на списък на общинските пътища</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1A53D6" w:rsidP="00A10F5E">
            <w:pPr>
              <w:rPr>
                <w:rFonts w:ascii="Times New Roman" w:hAnsi="Times New Roman" w:cs="Times New Roman"/>
                <w:sz w:val="20"/>
                <w:szCs w:val="20"/>
              </w:rPr>
            </w:pPr>
            <w:r w:rsidRPr="00FB714C">
              <w:rPr>
                <w:rFonts w:ascii="Times New Roman" w:hAnsi="Times New Roman" w:cs="Times New Roman"/>
                <w:sz w:val="20"/>
                <w:szCs w:val="20"/>
              </w:rPr>
              <w:t>Бр.</w:t>
            </w:r>
          </w:p>
        </w:tc>
        <w:tc>
          <w:tcPr>
            <w:tcW w:w="1275" w:type="dxa"/>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134" w:type="dxa"/>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276" w:type="dxa"/>
            <w:gridSpan w:val="2"/>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3</w:t>
            </w:r>
            <w:r w:rsidR="001A53D6" w:rsidRPr="00FB714C">
              <w:rPr>
                <w:rFonts w:ascii="Times New Roman" w:hAnsi="Times New Roman" w:cs="Times New Roman"/>
                <w:sz w:val="20"/>
                <w:szCs w:val="20"/>
              </w:rPr>
              <w:t xml:space="preserve">. Завършен </w:t>
            </w:r>
            <w:r w:rsidR="000B4309">
              <w:rPr>
                <w:rFonts w:ascii="Times New Roman" w:hAnsi="Times New Roman" w:cs="Times New Roman"/>
                <w:sz w:val="20"/>
                <w:szCs w:val="20"/>
              </w:rPr>
              <w:t>пътен обект и/или благоустройствен обект</w:t>
            </w:r>
            <w:r w:rsidR="001A53D6" w:rsidRPr="00FB714C">
              <w:rPr>
                <w:rFonts w:ascii="Times New Roman" w:hAnsi="Times New Roman" w:cs="Times New Roman"/>
                <w:sz w:val="20"/>
                <w:szCs w:val="20"/>
              </w:rPr>
              <w:t xml:space="preserve"> </w:t>
            </w:r>
            <w:r w:rsidR="001A53D6" w:rsidRPr="00FB714C">
              <w:rPr>
                <w:rFonts w:ascii="Times New Roman" w:hAnsi="Times New Roman" w:cs="Times New Roman"/>
                <w:sz w:val="20"/>
                <w:szCs w:val="20"/>
                <w:vertAlign w:val="superscript"/>
              </w:rPr>
              <w:t>1</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1A53D6" w:rsidP="00A10F5E">
            <w:pPr>
              <w:rPr>
                <w:rFonts w:ascii="Times New Roman" w:hAnsi="Times New Roman" w:cs="Times New Roman"/>
                <w:sz w:val="20"/>
                <w:szCs w:val="20"/>
              </w:rPr>
            </w:pPr>
            <w:r w:rsidRPr="00FB714C">
              <w:rPr>
                <w:rFonts w:ascii="Times New Roman" w:hAnsi="Times New Roman" w:cs="Times New Roman"/>
                <w:sz w:val="20"/>
                <w:szCs w:val="20"/>
              </w:rPr>
              <w:t>Бр.</w:t>
            </w:r>
          </w:p>
        </w:tc>
        <w:tc>
          <w:tcPr>
            <w:tcW w:w="1275" w:type="dxa"/>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134" w:type="dxa"/>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276" w:type="dxa"/>
            <w:gridSpan w:val="2"/>
            <w:tcBorders>
              <w:top w:val="single" w:sz="4" w:space="0" w:color="auto"/>
              <w:bottom w:val="single" w:sz="4" w:space="0" w:color="auto"/>
            </w:tcBorders>
            <w:vAlign w:val="center"/>
          </w:tcPr>
          <w:p w:rsidR="001A53D6" w:rsidRPr="00FB714C" w:rsidRDefault="001A53D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4</w:t>
            </w:r>
            <w:r w:rsidR="001A53D6" w:rsidRPr="00FB714C">
              <w:rPr>
                <w:rFonts w:ascii="Times New Roman" w:hAnsi="Times New Roman" w:cs="Times New Roman"/>
                <w:sz w:val="20"/>
                <w:szCs w:val="20"/>
              </w:rPr>
              <w:t>.Завършени геозащитни обекти/брегоукрепени участъци</w:t>
            </w:r>
            <w:r w:rsidR="001A53D6" w:rsidRPr="00FB714C">
              <w:rPr>
                <w:rFonts w:ascii="Times New Roman" w:hAnsi="Times New Roman" w:cs="Times New Roman"/>
                <w:sz w:val="20"/>
                <w:szCs w:val="20"/>
                <w:vertAlign w:val="superscript"/>
              </w:rPr>
              <w:t>2</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1A53D6" w:rsidP="00A10F5E">
            <w:pPr>
              <w:rPr>
                <w:rFonts w:ascii="Times New Roman" w:hAnsi="Times New Roman" w:cs="Times New Roman"/>
                <w:sz w:val="20"/>
                <w:szCs w:val="20"/>
              </w:rPr>
            </w:pPr>
            <w:r w:rsidRPr="00FB714C">
              <w:rPr>
                <w:rFonts w:ascii="Times New Roman" w:hAnsi="Times New Roman" w:cs="Times New Roman"/>
                <w:sz w:val="20"/>
                <w:szCs w:val="20"/>
              </w:rPr>
              <w:t>бр./м</w:t>
            </w:r>
          </w:p>
        </w:tc>
        <w:tc>
          <w:tcPr>
            <w:tcW w:w="1275" w:type="dxa"/>
            <w:tcBorders>
              <w:top w:val="single" w:sz="4" w:space="0" w:color="auto"/>
              <w:bottom w:val="single" w:sz="4" w:space="0" w:color="auto"/>
            </w:tcBorders>
            <w:vAlign w:val="center"/>
          </w:tcPr>
          <w:p w:rsidR="001A53D6" w:rsidRPr="002A65BD" w:rsidRDefault="000B4309" w:rsidP="00A10F5E">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r w:rsidR="00F17BC4" w:rsidRPr="002A65BD">
              <w:rPr>
                <w:rFonts w:ascii="Times New Roman" w:hAnsi="Times New Roman" w:cs="Times New Roman"/>
                <w:color w:val="000000" w:themeColor="text1"/>
                <w:sz w:val="20"/>
                <w:szCs w:val="20"/>
              </w:rPr>
              <w:t xml:space="preserve"> м.</w:t>
            </w:r>
          </w:p>
        </w:tc>
        <w:tc>
          <w:tcPr>
            <w:tcW w:w="1134" w:type="dxa"/>
            <w:tcBorders>
              <w:top w:val="single" w:sz="4" w:space="0" w:color="auto"/>
              <w:bottom w:val="single" w:sz="4" w:space="0" w:color="auto"/>
            </w:tcBorders>
            <w:vAlign w:val="center"/>
          </w:tcPr>
          <w:p w:rsidR="001A53D6" w:rsidRPr="002A65BD" w:rsidRDefault="000B4309" w:rsidP="00A10F5E">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r w:rsidR="00F17BC4" w:rsidRPr="002A65BD">
              <w:rPr>
                <w:rFonts w:ascii="Times New Roman" w:hAnsi="Times New Roman" w:cs="Times New Roman"/>
                <w:color w:val="000000" w:themeColor="text1"/>
                <w:sz w:val="20"/>
                <w:szCs w:val="20"/>
              </w:rPr>
              <w:t xml:space="preserve"> м.</w:t>
            </w:r>
          </w:p>
        </w:tc>
        <w:tc>
          <w:tcPr>
            <w:tcW w:w="1276" w:type="dxa"/>
            <w:gridSpan w:val="2"/>
            <w:tcBorders>
              <w:top w:val="single" w:sz="4" w:space="0" w:color="auto"/>
              <w:bottom w:val="single" w:sz="4" w:space="0" w:color="auto"/>
            </w:tcBorders>
            <w:vAlign w:val="center"/>
          </w:tcPr>
          <w:p w:rsidR="001A53D6" w:rsidRPr="002A65BD" w:rsidRDefault="001A53D6" w:rsidP="00A10F5E">
            <w:pPr>
              <w:jc w:val="right"/>
              <w:rPr>
                <w:rFonts w:ascii="Times New Roman" w:hAnsi="Times New Roman" w:cs="Times New Roman"/>
                <w:color w:val="000000" w:themeColor="text1"/>
                <w:sz w:val="20"/>
                <w:szCs w:val="20"/>
              </w:rPr>
            </w:pPr>
            <w:r w:rsidRPr="002A65BD">
              <w:rPr>
                <w:rFonts w:ascii="Times New Roman" w:hAnsi="Times New Roman" w:cs="Times New Roman"/>
                <w:color w:val="000000" w:themeColor="text1"/>
                <w:sz w:val="20"/>
                <w:szCs w:val="20"/>
                <w:lang w:val="en-US"/>
              </w:rPr>
              <w:t>4</w:t>
            </w:r>
            <w:r w:rsidRPr="002A65BD">
              <w:rPr>
                <w:rFonts w:ascii="Times New Roman" w:hAnsi="Times New Roman" w:cs="Times New Roman"/>
                <w:color w:val="000000" w:themeColor="text1"/>
                <w:sz w:val="20"/>
                <w:szCs w:val="20"/>
              </w:rPr>
              <w:t>00</w:t>
            </w:r>
            <w:r w:rsidR="00F17BC4" w:rsidRPr="002A65BD">
              <w:rPr>
                <w:rFonts w:ascii="Times New Roman" w:hAnsi="Times New Roman" w:cs="Times New Roman"/>
                <w:color w:val="000000" w:themeColor="text1"/>
                <w:sz w:val="20"/>
                <w:szCs w:val="20"/>
              </w:rPr>
              <w:t xml:space="preserve"> м.</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5</w:t>
            </w:r>
            <w:r w:rsidR="001A53D6" w:rsidRPr="00FB714C">
              <w:rPr>
                <w:rFonts w:ascii="Times New Roman" w:hAnsi="Times New Roman" w:cs="Times New Roman"/>
                <w:sz w:val="20"/>
                <w:szCs w:val="20"/>
              </w:rPr>
              <w:t>. Контролирана свлачищна територия</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1A53D6" w:rsidP="00A10F5E">
            <w:pPr>
              <w:rPr>
                <w:rFonts w:ascii="Times New Roman" w:hAnsi="Times New Roman" w:cs="Times New Roman"/>
                <w:sz w:val="20"/>
                <w:szCs w:val="20"/>
              </w:rPr>
            </w:pPr>
            <w:r w:rsidRPr="00FB714C">
              <w:rPr>
                <w:rFonts w:ascii="Times New Roman" w:hAnsi="Times New Roman" w:cs="Times New Roman"/>
                <w:sz w:val="20"/>
                <w:szCs w:val="20"/>
              </w:rPr>
              <w:t>ха</w:t>
            </w:r>
          </w:p>
        </w:tc>
        <w:tc>
          <w:tcPr>
            <w:tcW w:w="1275" w:type="dxa"/>
            <w:tcBorders>
              <w:top w:val="single" w:sz="4" w:space="0" w:color="auto"/>
              <w:bottom w:val="single" w:sz="4" w:space="0" w:color="auto"/>
            </w:tcBorders>
            <w:vAlign w:val="center"/>
          </w:tcPr>
          <w:p w:rsidR="001A53D6" w:rsidRPr="000B4309" w:rsidRDefault="000B4309" w:rsidP="00A10F5E">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1134" w:type="dxa"/>
            <w:tcBorders>
              <w:top w:val="single" w:sz="4" w:space="0" w:color="auto"/>
              <w:bottom w:val="single" w:sz="4" w:space="0" w:color="auto"/>
            </w:tcBorders>
            <w:vAlign w:val="center"/>
          </w:tcPr>
          <w:p w:rsidR="001A53D6" w:rsidRPr="00686C81" w:rsidRDefault="001A53D6" w:rsidP="00A10F5E">
            <w:pPr>
              <w:jc w:val="right"/>
              <w:rPr>
                <w:rFonts w:ascii="Times New Roman" w:hAnsi="Times New Roman" w:cs="Times New Roman"/>
                <w:color w:val="000000" w:themeColor="text1"/>
                <w:sz w:val="20"/>
                <w:szCs w:val="20"/>
              </w:rPr>
            </w:pPr>
            <w:r w:rsidRPr="00686C81">
              <w:rPr>
                <w:rFonts w:ascii="Times New Roman" w:hAnsi="Times New Roman" w:cs="Times New Roman"/>
                <w:color w:val="000000" w:themeColor="text1"/>
                <w:sz w:val="20"/>
                <w:szCs w:val="20"/>
              </w:rPr>
              <w:t>1000</w:t>
            </w:r>
          </w:p>
        </w:tc>
        <w:tc>
          <w:tcPr>
            <w:tcW w:w="1276" w:type="dxa"/>
            <w:gridSpan w:val="2"/>
            <w:tcBorders>
              <w:top w:val="single" w:sz="4" w:space="0" w:color="auto"/>
              <w:bottom w:val="single" w:sz="4" w:space="0" w:color="auto"/>
            </w:tcBorders>
            <w:vAlign w:val="center"/>
          </w:tcPr>
          <w:p w:rsidR="001A53D6" w:rsidRPr="00686C81" w:rsidRDefault="001A53D6" w:rsidP="00A10F5E">
            <w:pPr>
              <w:jc w:val="right"/>
              <w:rPr>
                <w:rFonts w:ascii="Times New Roman" w:hAnsi="Times New Roman" w:cs="Times New Roman"/>
                <w:color w:val="000000" w:themeColor="text1"/>
                <w:sz w:val="20"/>
                <w:szCs w:val="20"/>
              </w:rPr>
            </w:pPr>
            <w:r w:rsidRPr="00686C81">
              <w:rPr>
                <w:rFonts w:ascii="Times New Roman" w:hAnsi="Times New Roman" w:cs="Times New Roman"/>
                <w:color w:val="000000" w:themeColor="text1"/>
                <w:sz w:val="20"/>
                <w:szCs w:val="20"/>
                <w:lang w:val="en-US"/>
              </w:rPr>
              <w:t>10</w:t>
            </w:r>
            <w:r w:rsidRPr="00686C81">
              <w:rPr>
                <w:rFonts w:ascii="Times New Roman" w:hAnsi="Times New Roman" w:cs="Times New Roman"/>
                <w:color w:val="000000" w:themeColor="text1"/>
                <w:sz w:val="20"/>
                <w:szCs w:val="20"/>
              </w:rPr>
              <w:t>00</w:t>
            </w:r>
          </w:p>
        </w:tc>
      </w:tr>
      <w:tr w:rsidR="00442AB6" w:rsidRPr="00FB714C" w:rsidTr="00A10F5E">
        <w:trPr>
          <w:gridAfter w:val="1"/>
          <w:wAfter w:w="1276" w:type="dxa"/>
          <w:trHeight w:val="353"/>
        </w:trPr>
        <w:tc>
          <w:tcPr>
            <w:tcW w:w="5245" w:type="dxa"/>
            <w:tcBorders>
              <w:top w:val="single" w:sz="4" w:space="0" w:color="auto"/>
              <w:bottom w:val="single" w:sz="4" w:space="0" w:color="auto"/>
            </w:tcBorders>
            <w:vAlign w:val="center"/>
          </w:tcPr>
          <w:p w:rsidR="00442AB6" w:rsidRPr="00FB714C" w:rsidRDefault="00442AB6" w:rsidP="00A10F5E">
            <w:pPr>
              <w:pStyle w:val="ListParagraph"/>
              <w:tabs>
                <w:tab w:val="left" w:pos="179"/>
                <w:tab w:val="left" w:pos="255"/>
              </w:tabs>
              <w:ind w:left="37"/>
              <w:rPr>
                <w:rFonts w:ascii="Times New Roman" w:hAnsi="Times New Roman" w:cs="Times New Roman"/>
                <w:sz w:val="20"/>
                <w:szCs w:val="20"/>
              </w:rPr>
            </w:pPr>
            <w:r w:rsidRPr="00FB714C">
              <w:rPr>
                <w:rFonts w:ascii="Times New Roman" w:hAnsi="Times New Roman" w:cs="Times New Roman"/>
                <w:sz w:val="20"/>
                <w:szCs w:val="20"/>
              </w:rPr>
              <w:t xml:space="preserve">6. Обезпечаване на територията на страната с общи устройствени планове. </w:t>
            </w:r>
            <w:r w:rsidRPr="00FB714C">
              <w:rPr>
                <w:rFonts w:ascii="Times New Roman" w:hAnsi="Times New Roman" w:cs="Times New Roman"/>
                <w:i/>
                <w:sz w:val="20"/>
                <w:szCs w:val="20"/>
              </w:rPr>
              <w:t>(нарастване на броя на общините с действащи общи устройствени планове)</w:t>
            </w:r>
          </w:p>
        </w:tc>
        <w:tc>
          <w:tcPr>
            <w:tcW w:w="851" w:type="dxa"/>
            <w:tcBorders>
              <w:top w:val="single" w:sz="4" w:space="0" w:color="auto"/>
              <w:bottom w:val="single" w:sz="4" w:space="0" w:color="auto"/>
            </w:tcBorders>
            <w:shd w:val="clear" w:color="auto" w:fill="F2F2F2" w:themeFill="background1" w:themeFillShade="F2"/>
            <w:vAlign w:val="center"/>
          </w:tcPr>
          <w:p w:rsidR="00442AB6" w:rsidRPr="00FB714C" w:rsidRDefault="00442AB6" w:rsidP="00A10F5E">
            <w:pPr>
              <w:rPr>
                <w:rFonts w:ascii="Times New Roman" w:hAnsi="Times New Roman" w:cs="Times New Roman"/>
                <w:sz w:val="20"/>
                <w:szCs w:val="20"/>
              </w:rPr>
            </w:pPr>
            <w:r w:rsidRPr="00FB714C">
              <w:rPr>
                <w:rFonts w:ascii="Times New Roman" w:hAnsi="Times New Roman" w:cs="Times New Roman"/>
                <w:sz w:val="20"/>
                <w:szCs w:val="20"/>
              </w:rPr>
              <w:t>%</w:t>
            </w:r>
          </w:p>
        </w:tc>
        <w:tc>
          <w:tcPr>
            <w:tcW w:w="1275" w:type="dxa"/>
            <w:tcBorders>
              <w:top w:val="single" w:sz="4" w:space="0" w:color="auto"/>
              <w:bottom w:val="single" w:sz="4" w:space="0" w:color="auto"/>
            </w:tcBorders>
            <w:vAlign w:val="center"/>
          </w:tcPr>
          <w:p w:rsidR="00442AB6" w:rsidRPr="00FB714C" w:rsidRDefault="00442AB6" w:rsidP="00A10F5E">
            <w:pPr>
              <w:jc w:val="right"/>
              <w:rPr>
                <w:rFonts w:ascii="Times New Roman" w:hAnsi="Times New Roman" w:cs="Times New Roman"/>
                <w:sz w:val="20"/>
                <w:szCs w:val="20"/>
              </w:rPr>
            </w:pPr>
            <w:r w:rsidRPr="00FB714C">
              <w:rPr>
                <w:rFonts w:ascii="Times New Roman" w:hAnsi="Times New Roman" w:cs="Times New Roman"/>
                <w:sz w:val="20"/>
                <w:szCs w:val="20"/>
              </w:rPr>
              <w:t>15</w:t>
            </w:r>
          </w:p>
        </w:tc>
        <w:tc>
          <w:tcPr>
            <w:tcW w:w="1134" w:type="dxa"/>
            <w:tcBorders>
              <w:top w:val="single" w:sz="4" w:space="0" w:color="auto"/>
              <w:bottom w:val="single" w:sz="4" w:space="0" w:color="auto"/>
            </w:tcBorders>
            <w:vAlign w:val="center"/>
          </w:tcPr>
          <w:p w:rsidR="00442AB6" w:rsidRPr="00FB714C" w:rsidRDefault="00442AB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30</w:t>
            </w:r>
          </w:p>
        </w:tc>
        <w:tc>
          <w:tcPr>
            <w:tcW w:w="1276" w:type="dxa"/>
            <w:gridSpan w:val="2"/>
            <w:tcBorders>
              <w:top w:val="single" w:sz="4" w:space="0" w:color="auto"/>
              <w:bottom w:val="single" w:sz="4" w:space="0" w:color="auto"/>
            </w:tcBorders>
            <w:vAlign w:val="center"/>
          </w:tcPr>
          <w:p w:rsidR="00442AB6" w:rsidRPr="00FB714C" w:rsidRDefault="00442AB6" w:rsidP="00A10F5E">
            <w:pPr>
              <w:jc w:val="right"/>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25</w:t>
            </w:r>
          </w:p>
        </w:tc>
      </w:tr>
      <w:tr w:rsidR="00442AB6" w:rsidRPr="001A7F8A" w:rsidTr="00A10F5E">
        <w:trPr>
          <w:gridAfter w:val="1"/>
          <w:wAfter w:w="1276" w:type="dxa"/>
          <w:trHeight w:val="1438"/>
        </w:trPr>
        <w:tc>
          <w:tcPr>
            <w:tcW w:w="5245" w:type="dxa"/>
            <w:tcBorders>
              <w:top w:val="single" w:sz="4" w:space="0" w:color="auto"/>
              <w:bottom w:val="single" w:sz="4" w:space="0" w:color="auto"/>
            </w:tcBorders>
            <w:vAlign w:val="center"/>
          </w:tcPr>
          <w:p w:rsidR="00442AB6" w:rsidRPr="001A7F8A" w:rsidRDefault="00442AB6" w:rsidP="00A10F5E">
            <w:pPr>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 xml:space="preserve">7. Нарастване потенциала на АТЕ за ефективно и ефикасно планиране, управление и използване на ресурсите за устойчиво местно развитие </w:t>
            </w:r>
          </w:p>
          <w:p w:rsidR="00442AB6" w:rsidRPr="001A7F8A" w:rsidRDefault="00442AB6" w:rsidP="00A10F5E">
            <w:pPr>
              <w:tabs>
                <w:tab w:val="left" w:pos="690"/>
              </w:tabs>
              <w:rPr>
                <w:rFonts w:ascii="Times New Roman" w:hAnsi="Times New Roman" w:cs="Times New Roman"/>
                <w:color w:val="000000" w:themeColor="text1"/>
                <w:sz w:val="20"/>
                <w:szCs w:val="20"/>
              </w:rPr>
            </w:pPr>
            <w:r w:rsidRPr="001A7F8A">
              <w:rPr>
                <w:rFonts w:ascii="Times New Roman" w:hAnsi="Times New Roman" w:cs="Times New Roman"/>
                <w:i/>
                <w:color w:val="000000" w:themeColor="text1"/>
                <w:sz w:val="20"/>
                <w:szCs w:val="20"/>
              </w:rPr>
              <w:t>(нарастване дела на общините, отчитащи резултати над средните за страната по показатели за финансова самостоятелност и инвестиционна активност</w:t>
            </w:r>
            <w:r w:rsidRPr="001A7F8A">
              <w:rPr>
                <w:rFonts w:ascii="Times New Roman" w:hAnsi="Times New Roman" w:cs="Times New Roman"/>
                <w:color w:val="000000" w:themeColor="text1"/>
                <w:sz w:val="20"/>
                <w:szCs w:val="20"/>
              </w:rPr>
              <w:t>)</w:t>
            </w:r>
          </w:p>
        </w:tc>
        <w:tc>
          <w:tcPr>
            <w:tcW w:w="851" w:type="dxa"/>
            <w:tcBorders>
              <w:top w:val="single" w:sz="4" w:space="0" w:color="auto"/>
              <w:bottom w:val="single" w:sz="4" w:space="0" w:color="auto"/>
            </w:tcBorders>
            <w:shd w:val="clear" w:color="auto" w:fill="F2F2F2" w:themeFill="background1" w:themeFillShade="F2"/>
            <w:vAlign w:val="center"/>
          </w:tcPr>
          <w:p w:rsidR="00442AB6" w:rsidRPr="001A7F8A" w:rsidRDefault="00442AB6" w:rsidP="00A10F5E">
            <w:pPr>
              <w:rPr>
                <w:rFonts w:ascii="Times New Roman" w:hAnsi="Times New Roman" w:cs="Times New Roman"/>
                <w:color w:val="000000" w:themeColor="text1"/>
                <w:sz w:val="20"/>
                <w:szCs w:val="20"/>
              </w:rPr>
            </w:pPr>
            <w:r w:rsidRPr="001A7F8A">
              <w:rPr>
                <w:rFonts w:ascii="Times New Roman" w:hAnsi="Times New Roman" w:cs="Times New Roman"/>
                <w:sz w:val="20"/>
                <w:szCs w:val="20"/>
              </w:rPr>
              <w:t>%</w:t>
            </w:r>
          </w:p>
        </w:tc>
        <w:tc>
          <w:tcPr>
            <w:tcW w:w="1275" w:type="dxa"/>
            <w:tcBorders>
              <w:top w:val="single" w:sz="4" w:space="0" w:color="auto"/>
              <w:bottom w:val="single" w:sz="4" w:space="0" w:color="auto"/>
            </w:tcBorders>
            <w:vAlign w:val="center"/>
          </w:tcPr>
          <w:p w:rsidR="00442AB6" w:rsidRPr="001A7F8A" w:rsidRDefault="00442AB6" w:rsidP="00A10F5E">
            <w:pPr>
              <w:jc w:val="right"/>
              <w:rPr>
                <w:rFonts w:ascii="Times New Roman" w:hAnsi="Times New Roman" w:cs="Times New Roman"/>
                <w:color w:val="000000" w:themeColor="text1"/>
                <w:sz w:val="20"/>
                <w:szCs w:val="20"/>
              </w:rPr>
            </w:pPr>
            <w:bookmarkStart w:id="0" w:name="_GoBack"/>
            <w:bookmarkEnd w:id="0"/>
            <w:r w:rsidRPr="001A7F8A">
              <w:rPr>
                <w:rFonts w:ascii="Times New Roman" w:hAnsi="Times New Roman" w:cs="Times New Roman"/>
                <w:color w:val="000000" w:themeColor="text1"/>
                <w:sz w:val="20"/>
                <w:szCs w:val="20"/>
              </w:rPr>
              <w:t>1,0</w:t>
            </w:r>
          </w:p>
        </w:tc>
        <w:tc>
          <w:tcPr>
            <w:tcW w:w="1134" w:type="dxa"/>
            <w:tcBorders>
              <w:top w:val="single" w:sz="4" w:space="0" w:color="auto"/>
              <w:bottom w:val="single" w:sz="4" w:space="0" w:color="auto"/>
            </w:tcBorders>
            <w:vAlign w:val="center"/>
          </w:tcPr>
          <w:p w:rsidR="00442AB6" w:rsidRPr="001A7F8A" w:rsidRDefault="00442AB6" w:rsidP="00A10F5E">
            <w:pPr>
              <w:jc w:val="right"/>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1,1</w:t>
            </w:r>
          </w:p>
        </w:tc>
        <w:tc>
          <w:tcPr>
            <w:tcW w:w="1276" w:type="dxa"/>
            <w:gridSpan w:val="2"/>
            <w:tcBorders>
              <w:top w:val="single" w:sz="4" w:space="0" w:color="auto"/>
              <w:bottom w:val="single" w:sz="4" w:space="0" w:color="auto"/>
            </w:tcBorders>
            <w:vAlign w:val="center"/>
          </w:tcPr>
          <w:p w:rsidR="00442AB6" w:rsidRPr="001A7F8A" w:rsidRDefault="00442AB6" w:rsidP="00A10F5E">
            <w:pPr>
              <w:jc w:val="right"/>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1,2</w:t>
            </w:r>
          </w:p>
        </w:tc>
      </w:tr>
      <w:tr w:rsidR="00F168CE" w:rsidRPr="00A10F5E" w:rsidTr="00A10F5E">
        <w:trPr>
          <w:gridAfter w:val="1"/>
          <w:wAfter w:w="1276" w:type="dxa"/>
          <w:trHeight w:val="460"/>
        </w:trPr>
        <w:tc>
          <w:tcPr>
            <w:tcW w:w="5245" w:type="dxa"/>
            <w:tcBorders>
              <w:top w:val="single" w:sz="4" w:space="0" w:color="auto"/>
              <w:bottom w:val="single" w:sz="4" w:space="0" w:color="auto"/>
            </w:tcBorders>
            <w:vAlign w:val="center"/>
          </w:tcPr>
          <w:p w:rsidR="00F168CE" w:rsidRPr="00A10F5E" w:rsidRDefault="00F168CE" w:rsidP="00A10F5E">
            <w:pPr>
              <w:rPr>
                <w:rFonts w:ascii="Times New Roman" w:hAnsi="Times New Roman" w:cs="Times New Roman"/>
                <w:sz w:val="20"/>
                <w:szCs w:val="18"/>
              </w:rPr>
            </w:pPr>
            <w:r w:rsidRPr="00A10F5E">
              <w:rPr>
                <w:rFonts w:ascii="Times New Roman" w:hAnsi="Times New Roman" w:cs="Times New Roman"/>
                <w:sz w:val="20"/>
                <w:szCs w:val="18"/>
              </w:rPr>
              <w:t>8. Рехабилитирани и новоизградени участъци /в т.ч. аварийни дейности/.</w:t>
            </w:r>
          </w:p>
        </w:tc>
        <w:tc>
          <w:tcPr>
            <w:tcW w:w="851" w:type="dxa"/>
            <w:tcBorders>
              <w:top w:val="single" w:sz="4" w:space="0" w:color="auto"/>
              <w:bottom w:val="single" w:sz="4" w:space="0" w:color="auto"/>
            </w:tcBorders>
            <w:shd w:val="clear" w:color="auto" w:fill="F2F2F2" w:themeFill="background1" w:themeFillShade="F2"/>
            <w:vAlign w:val="center"/>
          </w:tcPr>
          <w:p w:rsidR="00F168CE" w:rsidRPr="00A10F5E" w:rsidRDefault="00F168CE" w:rsidP="00A10F5E">
            <w:pPr>
              <w:rPr>
                <w:rFonts w:ascii="Times New Roman" w:hAnsi="Times New Roman" w:cs="Times New Roman"/>
                <w:sz w:val="20"/>
                <w:szCs w:val="18"/>
              </w:rPr>
            </w:pPr>
            <w:r w:rsidRPr="00A10F5E">
              <w:rPr>
                <w:rFonts w:ascii="Times New Roman" w:hAnsi="Times New Roman" w:cs="Times New Roman"/>
                <w:sz w:val="20"/>
                <w:szCs w:val="18"/>
              </w:rPr>
              <w:t>Км.</w:t>
            </w:r>
          </w:p>
        </w:tc>
        <w:tc>
          <w:tcPr>
            <w:tcW w:w="1275" w:type="dxa"/>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158.045</w:t>
            </w:r>
          </w:p>
        </w:tc>
        <w:tc>
          <w:tcPr>
            <w:tcW w:w="1134" w:type="dxa"/>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343.795</w:t>
            </w:r>
          </w:p>
        </w:tc>
        <w:tc>
          <w:tcPr>
            <w:tcW w:w="1276" w:type="dxa"/>
            <w:gridSpan w:val="2"/>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257.39</w:t>
            </w:r>
          </w:p>
        </w:tc>
      </w:tr>
      <w:tr w:rsidR="00F168CE" w:rsidRPr="00A10F5E" w:rsidTr="00CD19BF">
        <w:trPr>
          <w:trHeight w:val="377"/>
        </w:trPr>
        <w:tc>
          <w:tcPr>
            <w:tcW w:w="5245" w:type="dxa"/>
            <w:tcBorders>
              <w:top w:val="single" w:sz="4" w:space="0" w:color="auto"/>
              <w:bottom w:val="single" w:sz="4" w:space="0" w:color="auto"/>
            </w:tcBorders>
            <w:vAlign w:val="center"/>
          </w:tcPr>
          <w:p w:rsidR="00F168CE" w:rsidRPr="00A10F5E" w:rsidRDefault="00F168CE" w:rsidP="00A10F5E">
            <w:pPr>
              <w:rPr>
                <w:rFonts w:ascii="Times New Roman" w:hAnsi="Times New Roman" w:cs="Times New Roman"/>
                <w:sz w:val="20"/>
                <w:szCs w:val="18"/>
              </w:rPr>
            </w:pPr>
            <w:r w:rsidRPr="00A10F5E">
              <w:rPr>
                <w:rFonts w:ascii="Times New Roman" w:hAnsi="Times New Roman" w:cs="Times New Roman"/>
                <w:sz w:val="20"/>
                <w:szCs w:val="18"/>
              </w:rPr>
              <w:t>9. Текущ ремонт и поддържане на РПМ</w:t>
            </w:r>
          </w:p>
        </w:tc>
        <w:tc>
          <w:tcPr>
            <w:tcW w:w="851" w:type="dxa"/>
            <w:tcBorders>
              <w:top w:val="single" w:sz="4" w:space="0" w:color="auto"/>
              <w:bottom w:val="single" w:sz="4" w:space="0" w:color="auto"/>
            </w:tcBorders>
            <w:shd w:val="clear" w:color="auto" w:fill="F2F2F2" w:themeFill="background1" w:themeFillShade="F2"/>
            <w:vAlign w:val="center"/>
          </w:tcPr>
          <w:p w:rsidR="00F168CE" w:rsidRPr="00A10F5E" w:rsidRDefault="00F168CE" w:rsidP="00A10F5E">
            <w:pPr>
              <w:rPr>
                <w:rFonts w:ascii="Times New Roman" w:hAnsi="Times New Roman" w:cs="Times New Roman"/>
                <w:sz w:val="20"/>
                <w:szCs w:val="18"/>
              </w:rPr>
            </w:pPr>
            <w:r w:rsidRPr="00A10F5E">
              <w:rPr>
                <w:rFonts w:ascii="Times New Roman" w:hAnsi="Times New Roman" w:cs="Times New Roman"/>
                <w:sz w:val="20"/>
                <w:szCs w:val="18"/>
              </w:rPr>
              <w:t>Км.</w:t>
            </w:r>
          </w:p>
        </w:tc>
        <w:tc>
          <w:tcPr>
            <w:tcW w:w="1275" w:type="dxa"/>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19 853.63</w:t>
            </w:r>
          </w:p>
        </w:tc>
        <w:tc>
          <w:tcPr>
            <w:tcW w:w="1134" w:type="dxa"/>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19 875.63</w:t>
            </w:r>
          </w:p>
        </w:tc>
        <w:tc>
          <w:tcPr>
            <w:tcW w:w="1276" w:type="dxa"/>
            <w:gridSpan w:val="2"/>
            <w:tcBorders>
              <w:top w:val="single" w:sz="4" w:space="0" w:color="auto"/>
              <w:bottom w:val="single" w:sz="4" w:space="0" w:color="auto"/>
            </w:tcBorders>
            <w:vAlign w:val="center"/>
          </w:tcPr>
          <w:p w:rsidR="00F168CE" w:rsidRPr="00A10F5E" w:rsidRDefault="00F168CE" w:rsidP="00A10F5E">
            <w:pPr>
              <w:jc w:val="right"/>
              <w:rPr>
                <w:rFonts w:ascii="Times New Roman" w:hAnsi="Times New Roman" w:cs="Times New Roman"/>
                <w:sz w:val="20"/>
                <w:szCs w:val="20"/>
              </w:rPr>
            </w:pPr>
            <w:r w:rsidRPr="00A10F5E">
              <w:rPr>
                <w:rFonts w:ascii="Times New Roman" w:hAnsi="Times New Roman" w:cs="Times New Roman"/>
                <w:sz w:val="20"/>
                <w:szCs w:val="20"/>
              </w:rPr>
              <w:t>19 918.16</w:t>
            </w:r>
          </w:p>
        </w:tc>
        <w:tc>
          <w:tcPr>
            <w:tcW w:w="1276" w:type="dxa"/>
            <w:vAlign w:val="center"/>
          </w:tcPr>
          <w:p w:rsidR="00F168CE" w:rsidRPr="00A10F5E" w:rsidRDefault="00F168CE" w:rsidP="00A10F5E">
            <w:pPr>
              <w:rPr>
                <w:rFonts w:ascii="Times New Roman" w:hAnsi="Times New Roman" w:cs="Times New Roman"/>
                <w:color w:val="000000" w:themeColor="text1"/>
                <w:sz w:val="20"/>
                <w:szCs w:val="20"/>
              </w:rPr>
            </w:pPr>
          </w:p>
        </w:tc>
      </w:tr>
      <w:tr w:rsidR="00F168CE" w:rsidRPr="00FB714C" w:rsidTr="00CD19BF">
        <w:trPr>
          <w:gridAfter w:val="1"/>
          <w:wAfter w:w="1276" w:type="dxa"/>
          <w:trHeight w:val="377"/>
        </w:trPr>
        <w:tc>
          <w:tcPr>
            <w:tcW w:w="5245" w:type="dxa"/>
            <w:tcBorders>
              <w:top w:val="single" w:sz="4" w:space="0" w:color="auto"/>
              <w:bottom w:val="single" w:sz="4" w:space="0" w:color="auto"/>
            </w:tcBorders>
            <w:vAlign w:val="center"/>
          </w:tcPr>
          <w:p w:rsidR="00F168CE" w:rsidRPr="001A7F8A" w:rsidRDefault="00F168CE" w:rsidP="00A10F5E">
            <w:pPr>
              <w:tabs>
                <w:tab w:val="left" w:pos="690"/>
              </w:tabs>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10. Брой продадени винетки</w:t>
            </w:r>
          </w:p>
        </w:tc>
        <w:tc>
          <w:tcPr>
            <w:tcW w:w="851" w:type="dxa"/>
            <w:tcBorders>
              <w:top w:val="single" w:sz="4" w:space="0" w:color="auto"/>
              <w:bottom w:val="single" w:sz="4" w:space="0" w:color="auto"/>
            </w:tcBorders>
            <w:shd w:val="clear" w:color="auto" w:fill="F2F2F2" w:themeFill="background1" w:themeFillShade="F2"/>
            <w:vAlign w:val="center"/>
          </w:tcPr>
          <w:p w:rsidR="00F168CE" w:rsidRPr="001A7F8A" w:rsidRDefault="00F168CE" w:rsidP="00A10F5E">
            <w:pPr>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Бр.</w:t>
            </w:r>
          </w:p>
        </w:tc>
        <w:tc>
          <w:tcPr>
            <w:tcW w:w="1275" w:type="dxa"/>
            <w:tcBorders>
              <w:top w:val="single" w:sz="4" w:space="0" w:color="auto"/>
              <w:bottom w:val="single" w:sz="4" w:space="0" w:color="auto"/>
            </w:tcBorders>
            <w:vAlign w:val="center"/>
          </w:tcPr>
          <w:p w:rsidR="00F168CE" w:rsidRPr="001A7F8A" w:rsidRDefault="00F168CE" w:rsidP="00A10F5E">
            <w:pPr>
              <w:jc w:val="right"/>
              <w:rPr>
                <w:rFonts w:ascii="Times New Roman" w:hAnsi="Times New Roman" w:cs="Times New Roman"/>
                <w:sz w:val="20"/>
                <w:szCs w:val="20"/>
              </w:rPr>
            </w:pPr>
            <w:r w:rsidRPr="001A7F8A">
              <w:rPr>
                <w:rFonts w:ascii="Times New Roman" w:hAnsi="Times New Roman" w:cs="Times New Roman"/>
                <w:sz w:val="20"/>
                <w:szCs w:val="20"/>
              </w:rPr>
              <w:t>6 300 000</w:t>
            </w:r>
          </w:p>
        </w:tc>
        <w:tc>
          <w:tcPr>
            <w:tcW w:w="1134" w:type="dxa"/>
            <w:tcBorders>
              <w:top w:val="single" w:sz="4" w:space="0" w:color="auto"/>
              <w:bottom w:val="single" w:sz="4" w:space="0" w:color="auto"/>
            </w:tcBorders>
            <w:vAlign w:val="center"/>
          </w:tcPr>
          <w:p w:rsidR="00F168CE" w:rsidRPr="001A7F8A" w:rsidRDefault="00F168CE" w:rsidP="00A10F5E">
            <w:pPr>
              <w:jc w:val="right"/>
              <w:rPr>
                <w:rFonts w:ascii="Times New Roman" w:hAnsi="Times New Roman" w:cs="Times New Roman"/>
                <w:sz w:val="20"/>
                <w:szCs w:val="20"/>
              </w:rPr>
            </w:pPr>
            <w:r w:rsidRPr="001A7F8A">
              <w:rPr>
                <w:rFonts w:ascii="Times New Roman" w:hAnsi="Times New Roman" w:cs="Times New Roman"/>
                <w:sz w:val="20"/>
                <w:szCs w:val="20"/>
              </w:rPr>
              <w:t>6 300 000</w:t>
            </w:r>
          </w:p>
        </w:tc>
        <w:tc>
          <w:tcPr>
            <w:tcW w:w="1276" w:type="dxa"/>
            <w:gridSpan w:val="2"/>
            <w:tcBorders>
              <w:top w:val="single" w:sz="4" w:space="0" w:color="auto"/>
              <w:bottom w:val="single" w:sz="4" w:space="0" w:color="auto"/>
            </w:tcBorders>
            <w:vAlign w:val="center"/>
          </w:tcPr>
          <w:p w:rsidR="00F168CE" w:rsidRPr="00F168CE" w:rsidRDefault="00F168CE" w:rsidP="00A10F5E">
            <w:pPr>
              <w:jc w:val="right"/>
              <w:rPr>
                <w:rFonts w:ascii="Times New Roman" w:hAnsi="Times New Roman" w:cs="Times New Roman"/>
                <w:sz w:val="20"/>
                <w:szCs w:val="20"/>
              </w:rPr>
            </w:pPr>
            <w:r w:rsidRPr="001A7F8A">
              <w:rPr>
                <w:rFonts w:ascii="Times New Roman" w:hAnsi="Times New Roman" w:cs="Times New Roman"/>
                <w:sz w:val="20"/>
                <w:szCs w:val="20"/>
              </w:rPr>
              <w:t>6 300 000</w:t>
            </w:r>
          </w:p>
        </w:tc>
      </w:tr>
    </w:tbl>
    <w:p w:rsidR="00DA0A1C" w:rsidRPr="00DA0A1C" w:rsidRDefault="00DA0A1C" w:rsidP="00A10F5E">
      <w:pPr>
        <w:spacing w:after="0" w:line="240" w:lineRule="auto"/>
        <w:ind w:right="-1" w:firstLine="567"/>
        <w:jc w:val="both"/>
        <w:rPr>
          <w:rFonts w:ascii="Times New Roman" w:eastAsia="Times New Roman" w:hAnsi="Times New Roman" w:cs="Times New Roman"/>
          <w:color w:val="000000"/>
          <w:sz w:val="16"/>
          <w:szCs w:val="16"/>
          <w:lang w:val="en-US" w:eastAsia="bg-BG"/>
        </w:rPr>
      </w:pPr>
      <w:r w:rsidRPr="00DA0A1C">
        <w:rPr>
          <w:rFonts w:ascii="Times New Roman" w:eastAsia="Calibri" w:hAnsi="Times New Roman" w:cs="Times New Roman"/>
          <w:sz w:val="18"/>
          <w:szCs w:val="18"/>
          <w:vertAlign w:val="superscript"/>
        </w:rPr>
        <w:t>1</w:t>
      </w:r>
      <w:r w:rsidRPr="00DA0A1C">
        <w:rPr>
          <w:rFonts w:ascii="Times New Roman" w:eastAsia="Calibri" w:hAnsi="Times New Roman" w:cs="Times New Roman"/>
          <w:color w:val="000000"/>
          <w:sz w:val="16"/>
          <w:szCs w:val="16"/>
          <w:lang w:eastAsia="bg-BG"/>
        </w:rPr>
        <w:t>Целевата стойност на показател „Завършен пътен обект“ е на база издадено Разрешение за ползване или дължина на участък в линейни метри</w:t>
      </w:r>
      <w:r w:rsidRPr="00DA0A1C">
        <w:rPr>
          <w:rFonts w:ascii="Times New Roman" w:eastAsia="Calibri" w:hAnsi="Times New Roman" w:cs="Times New Roman"/>
          <w:color w:val="000000"/>
          <w:sz w:val="16"/>
          <w:szCs w:val="16"/>
          <w:lang w:val="en-US" w:eastAsia="bg-BG"/>
        </w:rPr>
        <w:t xml:space="preserve">. </w:t>
      </w:r>
    </w:p>
    <w:p w:rsidR="00DA0A1C" w:rsidRPr="00DA0A1C" w:rsidRDefault="00DA0A1C" w:rsidP="00A10F5E">
      <w:pPr>
        <w:spacing w:after="0" w:line="240" w:lineRule="auto"/>
        <w:ind w:right="46" w:firstLine="567"/>
        <w:jc w:val="both"/>
        <w:rPr>
          <w:rFonts w:ascii="Times New Roman" w:eastAsia="Times New Roman" w:hAnsi="Times New Roman" w:cs="Times New Roman"/>
          <w:sz w:val="16"/>
          <w:szCs w:val="16"/>
          <w:lang w:eastAsia="bg-BG"/>
        </w:rPr>
      </w:pPr>
      <w:r w:rsidRPr="00DA0A1C">
        <w:rPr>
          <w:rFonts w:ascii="Times New Roman" w:eastAsia="Calibri" w:hAnsi="Times New Roman" w:cs="Times New Roman"/>
          <w:color w:val="000000"/>
          <w:sz w:val="16"/>
          <w:szCs w:val="16"/>
          <w:vertAlign w:val="superscript"/>
          <w:lang w:eastAsia="bg-BG"/>
        </w:rPr>
        <w:t xml:space="preserve">2 </w:t>
      </w:r>
      <w:r w:rsidRPr="00DA0A1C">
        <w:rPr>
          <w:rFonts w:ascii="Times New Roman" w:eastAsia="Calibri" w:hAnsi="Times New Roman" w:cs="Times New Roman"/>
          <w:sz w:val="16"/>
          <w:szCs w:val="16"/>
          <w:lang w:eastAsia="bg-BG"/>
        </w:rPr>
        <w:t xml:space="preserve">Стойността на показател „Завършени геозащитни обекти/брегоукрепени участъци“ е </w:t>
      </w:r>
      <w:r w:rsidRPr="00DA0A1C">
        <w:rPr>
          <w:rFonts w:ascii="Times New Roman" w:eastAsia="Times New Roman" w:hAnsi="Times New Roman" w:cs="Times New Roman"/>
          <w:sz w:val="16"/>
          <w:szCs w:val="16"/>
          <w:lang w:eastAsia="bg-BG"/>
        </w:rPr>
        <w:t xml:space="preserve">на база завършени обекти, въведени в експлоатация с Разрешения за ползване на обекти или дължина на брегоукрепени участъци в линейни метри </w:t>
      </w:r>
      <w:r w:rsidRPr="00DA0A1C">
        <w:rPr>
          <w:rFonts w:ascii="Times New Roman" w:eastAsia="Times New Roman" w:hAnsi="Times New Roman" w:cs="Times New Roman"/>
          <w:sz w:val="16"/>
          <w:szCs w:val="16"/>
          <w:lang w:val="en-US" w:eastAsia="bg-BG"/>
        </w:rPr>
        <w:t>(</w:t>
      </w:r>
      <w:r w:rsidRPr="00DA0A1C">
        <w:rPr>
          <w:rFonts w:ascii="Times New Roman" w:eastAsia="Times New Roman" w:hAnsi="Times New Roman" w:cs="Times New Roman"/>
          <w:sz w:val="16"/>
          <w:szCs w:val="16"/>
          <w:lang w:eastAsia="bg-BG"/>
        </w:rPr>
        <w:t>за обекти в процес на изпълнение</w:t>
      </w:r>
      <w:r w:rsidRPr="00DA0A1C">
        <w:rPr>
          <w:rFonts w:ascii="Times New Roman" w:eastAsia="Times New Roman" w:hAnsi="Times New Roman" w:cs="Times New Roman"/>
          <w:sz w:val="16"/>
          <w:szCs w:val="16"/>
          <w:lang w:val="en-US" w:eastAsia="bg-BG"/>
        </w:rPr>
        <w:t>)</w:t>
      </w:r>
      <w:r w:rsidRPr="00DA0A1C">
        <w:rPr>
          <w:rFonts w:ascii="Times New Roman" w:eastAsia="Calibri" w:hAnsi="Times New Roman" w:cs="Times New Roman"/>
          <w:sz w:val="16"/>
          <w:szCs w:val="16"/>
          <w:lang w:eastAsia="bg-BG"/>
        </w:rPr>
        <w:t>.</w:t>
      </w:r>
    </w:p>
    <w:p w:rsidR="000B4309" w:rsidRPr="000B4309" w:rsidRDefault="000B4309" w:rsidP="00A10F5E">
      <w:pPr>
        <w:spacing w:after="0" w:line="240" w:lineRule="auto"/>
        <w:ind w:firstLine="567"/>
        <w:contextualSpacing/>
        <w:jc w:val="both"/>
        <w:rPr>
          <w:rFonts w:ascii="Times New Roman" w:eastAsia="Calibri" w:hAnsi="Times New Roman" w:cs="Times New Roman"/>
          <w:b/>
          <w:i/>
          <w:color w:val="0000CC"/>
        </w:rPr>
      </w:pPr>
      <w:r w:rsidRPr="000B4309">
        <w:rPr>
          <w:rFonts w:ascii="Times New Roman" w:eastAsia="Calibri" w:hAnsi="Times New Roman" w:cs="Times New Roman"/>
          <w:b/>
          <w:i/>
          <w:color w:val="0000CC"/>
        </w:rPr>
        <w:lastRenderedPageBreak/>
        <w:t>Мотиви за промяна в целевата стойност на индикатори, съгласно утвърдените с РМС №963/2020 г.:</w:t>
      </w:r>
    </w:p>
    <w:p w:rsidR="000B4309" w:rsidRPr="000B4309" w:rsidRDefault="000B4309" w:rsidP="00A10F5E">
      <w:pPr>
        <w:pStyle w:val="ListParagraph"/>
        <w:numPr>
          <w:ilvl w:val="0"/>
          <w:numId w:val="1"/>
        </w:numPr>
        <w:tabs>
          <w:tab w:val="left" w:pos="851"/>
        </w:tabs>
        <w:spacing w:after="0" w:line="240" w:lineRule="auto"/>
        <w:ind w:left="0" w:firstLine="567"/>
        <w:jc w:val="both"/>
        <w:rPr>
          <w:rFonts w:ascii="Times New Roman" w:eastAsia="Calibri" w:hAnsi="Times New Roman" w:cs="Times New Roman"/>
        </w:rPr>
      </w:pPr>
      <w:r w:rsidRPr="000B4309">
        <w:rPr>
          <w:rFonts w:ascii="Times New Roman" w:eastAsia="Calibri" w:hAnsi="Times New Roman" w:cs="Times New Roman"/>
        </w:rPr>
        <w:t xml:space="preserve">С оглед изпълнение на нормативно възложените функции на МРРБ за извършване на превантивни дейности по регистриране и мониторинг на свлачищни райони на територията на Република България съгласно чл. 95, ал. 1 от ЗУТ,  в т.ч. на абразионните и ерозионните процеси по Черноморското и Дунавското крайбрежие, като превантивни мерки за предотвратяване на аварии и щети, които се осъществяват от МРРБ чрез Държавното дружество за геозащита и неговите клонове приоритетно са увеличени финансовите средства за този вид дейност, като е предвидено да се увеличи контролирана свлачищна територия чрез извършване на мониторинг, като </w:t>
      </w:r>
      <w:r w:rsidRPr="000B4309">
        <w:rPr>
          <w:rFonts w:ascii="Times New Roman" w:eastAsia="Calibri" w:hAnsi="Times New Roman" w:cs="Times New Roman"/>
          <w:b/>
          <w:i/>
        </w:rPr>
        <w:t>показател „Контролирана свлачища територия</w:t>
      </w:r>
      <w:r w:rsidRPr="000B4309">
        <w:rPr>
          <w:rFonts w:ascii="Times New Roman" w:eastAsia="Calibri" w:hAnsi="Times New Roman" w:cs="Times New Roman"/>
        </w:rPr>
        <w:t xml:space="preserve">“ от 800 ха на 1000 ха за 2022 г. и за 2023 г. за сметка на </w:t>
      </w:r>
      <w:r w:rsidRPr="000B4309">
        <w:rPr>
          <w:rFonts w:ascii="Times New Roman" w:eastAsia="Calibri" w:hAnsi="Times New Roman" w:cs="Times New Roman"/>
          <w:b/>
          <w:i/>
        </w:rPr>
        <w:t>показател „Бегоукрепени участъци“</w:t>
      </w:r>
      <w:r w:rsidRPr="000B4309">
        <w:rPr>
          <w:rFonts w:ascii="Times New Roman" w:eastAsia="Calibri" w:hAnsi="Times New Roman" w:cs="Times New Roman"/>
        </w:rPr>
        <w:t>, който се намалява от 500 м. на 300 м.</w:t>
      </w:r>
    </w:p>
    <w:p w:rsidR="000B4309" w:rsidRPr="000B4309" w:rsidRDefault="000B4309" w:rsidP="00A10F5E">
      <w:pPr>
        <w:tabs>
          <w:tab w:val="left" w:pos="851"/>
        </w:tabs>
        <w:spacing w:after="0" w:line="240" w:lineRule="auto"/>
        <w:ind w:firstLine="567"/>
        <w:contextualSpacing/>
        <w:jc w:val="both"/>
        <w:rPr>
          <w:rFonts w:ascii="Times New Roman" w:eastAsia="Calibri" w:hAnsi="Times New Roman" w:cs="Times New Roman"/>
        </w:rPr>
      </w:pPr>
      <w:r w:rsidRPr="000B4309">
        <w:rPr>
          <w:rFonts w:ascii="Times New Roman" w:eastAsia="Calibri" w:hAnsi="Times New Roman" w:cs="Times New Roman"/>
        </w:rPr>
        <w:t>Мониторингът на свлачищните райони е приоритет на МРРБ, поради което през 2021 г. са изградени нови контролно-измервателни системи за мониторинг на 26 свлачищни райони на територията на страната по процедура за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 пътна мрежа), по приоритетна ос 4 „Превенция и управление на риска от наводнения и свлачища“ на Оперативна програма „Околна среда 2014-2020 г.”, в рамките на проект „Превантивни дейности чрез изграждане/ възстановяване на контролно-измервателни системи в регистрирани свлачищни райони“.</w:t>
      </w:r>
    </w:p>
    <w:p w:rsidR="000B4309" w:rsidRDefault="000B4309" w:rsidP="00A10F5E">
      <w:pPr>
        <w:tabs>
          <w:tab w:val="left" w:pos="851"/>
        </w:tabs>
        <w:spacing w:after="0" w:line="240" w:lineRule="auto"/>
        <w:ind w:firstLine="567"/>
        <w:contextualSpacing/>
        <w:jc w:val="both"/>
        <w:rPr>
          <w:rFonts w:ascii="Times New Roman" w:eastAsia="Calibri" w:hAnsi="Times New Roman" w:cs="Times New Roman"/>
        </w:rPr>
      </w:pPr>
      <w:r w:rsidRPr="000B4309">
        <w:rPr>
          <w:rFonts w:ascii="Times New Roman" w:eastAsia="Calibri" w:hAnsi="Times New Roman" w:cs="Times New Roman"/>
        </w:rPr>
        <w:t>През 2022г. и 2023 г. се предвижда да бъдат заложени измервания на новоизградените/възстановени през 2021 г. контролно-измервателни системи и мониторинг на допълнителни 26 свлачища, поради което посоченият показател за контролирана свлачищна територия се увеличава.</w:t>
      </w:r>
    </w:p>
    <w:p w:rsidR="000B4309" w:rsidRDefault="000B4309" w:rsidP="00A10F5E">
      <w:pPr>
        <w:pStyle w:val="ListParagraph"/>
        <w:numPr>
          <w:ilvl w:val="0"/>
          <w:numId w:val="1"/>
        </w:numPr>
        <w:tabs>
          <w:tab w:val="left" w:pos="851"/>
        </w:tabs>
        <w:spacing w:after="0" w:line="240" w:lineRule="auto"/>
        <w:ind w:left="0" w:firstLine="567"/>
        <w:jc w:val="both"/>
        <w:rPr>
          <w:rFonts w:ascii="Times New Roman" w:eastAsia="Calibri" w:hAnsi="Times New Roman" w:cs="Times New Roman"/>
        </w:rPr>
      </w:pPr>
      <w:r w:rsidRPr="000B4309">
        <w:rPr>
          <w:rFonts w:ascii="Times New Roman" w:eastAsia="Calibri" w:hAnsi="Times New Roman" w:cs="Times New Roman"/>
        </w:rPr>
        <w:t xml:space="preserve">Намалението на прогнозните целеви стойности на индикатора </w:t>
      </w:r>
      <w:r w:rsidRPr="000B4309">
        <w:rPr>
          <w:rFonts w:ascii="Times New Roman" w:eastAsia="Calibri" w:hAnsi="Times New Roman" w:cs="Times New Roman"/>
          <w:b/>
          <w:i/>
        </w:rPr>
        <w:t>„Нарастване потенциала на АТЕ за ефективно и ефикасно планиране, управление и използване на ресурсите за устойчиво местно развитие“</w:t>
      </w:r>
      <w:r w:rsidRPr="000B4309">
        <w:rPr>
          <w:rFonts w:ascii="Times New Roman" w:eastAsia="Calibri" w:hAnsi="Times New Roman" w:cs="Times New Roman"/>
        </w:rPr>
        <w:t xml:space="preserve"> се дължи на изключително негативното отражение на пандемията от </w:t>
      </w:r>
      <w:r w:rsidRPr="000B4309">
        <w:rPr>
          <w:rFonts w:ascii="Times New Roman" w:eastAsia="Calibri" w:hAnsi="Times New Roman" w:cs="Times New Roman"/>
          <w:lang w:val="en-US"/>
        </w:rPr>
        <w:t>COVID</w:t>
      </w:r>
      <w:r w:rsidRPr="000B4309">
        <w:rPr>
          <w:rFonts w:ascii="Times New Roman" w:eastAsia="Calibri" w:hAnsi="Times New Roman" w:cs="Times New Roman"/>
        </w:rPr>
        <w:t xml:space="preserve">-19 върху бюджетите на общините (като административно-териториални единици - АТЕ) към началото на 2021 г., като загубите от намалените собствени приходи от местни данъци и такси се допълват от извънредни бюджетни разходи за непосредствени мерки за опазване здравето на населението – разкриване на легла за пациенти с </w:t>
      </w:r>
      <w:r w:rsidRPr="000B4309">
        <w:rPr>
          <w:rFonts w:ascii="Times New Roman" w:eastAsia="Calibri" w:hAnsi="Times New Roman" w:cs="Times New Roman"/>
          <w:lang w:val="en-US"/>
        </w:rPr>
        <w:t>COVID</w:t>
      </w:r>
      <w:r w:rsidRPr="000B4309">
        <w:rPr>
          <w:rFonts w:ascii="Times New Roman" w:eastAsia="Calibri" w:hAnsi="Times New Roman" w:cs="Times New Roman"/>
        </w:rPr>
        <w:t>-19 в общински болници; доставка на храни и медикаменти по домовете на всички уязвими групи; доставка на топъл обяд и хранителни пакети; икономически мерки в подкрепа на местния бизнес (освобождаване от общински такси и наеми) и много други. Очаква се периодът на социално-икономическо възстановяване на общините в условията на все още продължаваща пандемична криза, както и след нейното затихване да продължи до 2-3 години, което ще окаже отрицателно влияние върху показателите за финансова самостоятелност и инвестиционна активност на общините. Това води до съответното прогнозно намаление на стойността на използвания индикатор с около 0,5 до 0,3 процентни пункта спрямо предкризисните нива.</w:t>
      </w:r>
    </w:p>
    <w:p w:rsidR="00511F1F" w:rsidRDefault="00511F1F" w:rsidP="00A10F5E">
      <w:pPr>
        <w:tabs>
          <w:tab w:val="left" w:pos="851"/>
        </w:tabs>
        <w:spacing w:after="0" w:line="240" w:lineRule="auto"/>
        <w:jc w:val="both"/>
        <w:rPr>
          <w:rFonts w:ascii="Times New Roman" w:eastAsia="Calibri" w:hAnsi="Times New Roman" w:cs="Times New Roman"/>
        </w:rPr>
      </w:pPr>
    </w:p>
    <w:p w:rsidR="00637376" w:rsidRPr="00637376" w:rsidRDefault="00637376" w:rsidP="00A10F5E">
      <w:pPr>
        <w:numPr>
          <w:ilvl w:val="0"/>
          <w:numId w:val="2"/>
        </w:numPr>
        <w:tabs>
          <w:tab w:val="left" w:pos="709"/>
        </w:tabs>
        <w:spacing w:after="0" w:line="240" w:lineRule="auto"/>
        <w:ind w:hanging="720"/>
        <w:jc w:val="both"/>
        <w:rPr>
          <w:rFonts w:ascii="Times New Roman" w:eastAsia="Calibri" w:hAnsi="Times New Roman" w:cs="Times New Roman"/>
          <w:b/>
          <w:i/>
          <w:color w:val="0000CC"/>
        </w:rPr>
      </w:pPr>
      <w:r w:rsidRPr="00637376">
        <w:rPr>
          <w:rFonts w:ascii="Times New Roman" w:eastAsia="Calibri" w:hAnsi="Times New Roman" w:cs="Times New Roman"/>
          <w:b/>
          <w:i/>
          <w:color w:val="0000CC"/>
        </w:rPr>
        <w:t>Кратко описание на посочените индикатори.</w:t>
      </w:r>
    </w:p>
    <w:p w:rsidR="00D6230D" w:rsidRPr="00D6230D" w:rsidRDefault="00D6230D" w:rsidP="00A10F5E">
      <w:pPr>
        <w:pStyle w:val="ListParagraph"/>
        <w:numPr>
          <w:ilvl w:val="0"/>
          <w:numId w:val="2"/>
        </w:numPr>
        <w:tabs>
          <w:tab w:val="left" w:pos="709"/>
        </w:tabs>
        <w:spacing w:after="0" w:line="240" w:lineRule="auto"/>
        <w:ind w:left="0" w:firstLine="567"/>
        <w:jc w:val="both"/>
        <w:rPr>
          <w:rFonts w:ascii="Times New Roman" w:eastAsia="Calibri" w:hAnsi="Times New Roman" w:cs="Times New Roman"/>
        </w:rPr>
      </w:pPr>
      <w:r w:rsidRPr="00D6230D">
        <w:rPr>
          <w:rFonts w:ascii="Times New Roman" w:eastAsia="Calibri" w:hAnsi="Times New Roman" w:cs="Times New Roman"/>
          <w:b/>
          <w:i/>
        </w:rPr>
        <w:t>Показател „Нарастване потенциала на АТЕ за ефективно и ефикасно планиране, управление и използване на ресурсите за устойчиво местно развитие“</w:t>
      </w:r>
      <w:r>
        <w:rPr>
          <w:rFonts w:ascii="Times New Roman" w:eastAsia="Calibri" w:hAnsi="Times New Roman" w:cs="Times New Roman"/>
        </w:rPr>
        <w:t xml:space="preserve"> и </w:t>
      </w:r>
      <w:r w:rsidRPr="00D6230D">
        <w:rPr>
          <w:rFonts w:ascii="Times New Roman" w:eastAsia="Calibri" w:hAnsi="Times New Roman" w:cs="Times New Roman"/>
          <w:b/>
          <w:i/>
        </w:rPr>
        <w:t>„Обезпечаване на територията на страната с общи устройствени планове“</w:t>
      </w:r>
      <w:r>
        <w:rPr>
          <w:rFonts w:ascii="Times New Roman" w:eastAsia="Calibri" w:hAnsi="Times New Roman" w:cs="Times New Roman"/>
        </w:rPr>
        <w:t xml:space="preserve"> измерват стратегическа цел „</w:t>
      </w:r>
      <w:r w:rsidRPr="00D6230D">
        <w:rPr>
          <w:rFonts w:ascii="Times New Roman" w:eastAsia="Calibri" w:hAnsi="Times New Roman" w:cs="Times New Roman"/>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w:t>
      </w:r>
      <w:r>
        <w:rPr>
          <w:rFonts w:ascii="Times New Roman" w:eastAsia="Calibri" w:hAnsi="Times New Roman" w:cs="Times New Roman"/>
        </w:rPr>
        <w:t>лтурно-историческото наследство“;</w:t>
      </w:r>
    </w:p>
    <w:p w:rsidR="00511F1F" w:rsidRDefault="00D6230D" w:rsidP="00A10F5E">
      <w:pPr>
        <w:pStyle w:val="ListParagraph"/>
        <w:numPr>
          <w:ilvl w:val="0"/>
          <w:numId w:val="2"/>
        </w:numPr>
        <w:tabs>
          <w:tab w:val="left" w:pos="709"/>
        </w:tabs>
        <w:spacing w:after="0" w:line="240" w:lineRule="auto"/>
        <w:ind w:left="0" w:firstLine="567"/>
        <w:jc w:val="both"/>
        <w:rPr>
          <w:rFonts w:ascii="Times New Roman" w:eastAsia="Calibri" w:hAnsi="Times New Roman" w:cs="Times New Roman"/>
        </w:rPr>
      </w:pPr>
      <w:r w:rsidRPr="00D6230D">
        <w:rPr>
          <w:rFonts w:ascii="Times New Roman" w:eastAsia="Calibri" w:hAnsi="Times New Roman" w:cs="Times New Roman"/>
          <w:b/>
          <w:i/>
        </w:rPr>
        <w:t>Показател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услугата отвеждане и пречистване на отпадъчните води“</w:t>
      </w:r>
      <w:r>
        <w:rPr>
          <w:rFonts w:ascii="Times New Roman" w:eastAsia="Calibri" w:hAnsi="Times New Roman" w:cs="Times New Roman"/>
          <w:b/>
          <w:i/>
        </w:rPr>
        <w:t xml:space="preserve"> </w:t>
      </w:r>
      <w:r w:rsidRPr="00D6230D">
        <w:rPr>
          <w:rFonts w:ascii="Times New Roman" w:eastAsia="Calibri" w:hAnsi="Times New Roman" w:cs="Times New Roman"/>
        </w:rPr>
        <w:t>измерва</w:t>
      </w:r>
      <w:r>
        <w:rPr>
          <w:rFonts w:ascii="Times New Roman" w:eastAsia="Calibri" w:hAnsi="Times New Roman" w:cs="Times New Roman"/>
        </w:rPr>
        <w:t xml:space="preserve"> стратегическите цели, свързани с п</w:t>
      </w:r>
      <w:r w:rsidRPr="00D6230D">
        <w:rPr>
          <w:rFonts w:ascii="Times New Roman" w:eastAsia="Calibri" w:hAnsi="Times New Roman" w:cs="Times New Roman"/>
        </w:rPr>
        <w:t xml:space="preserve">овишаване ефективността при </w:t>
      </w:r>
      <w:r>
        <w:rPr>
          <w:rFonts w:ascii="Times New Roman" w:eastAsia="Calibri" w:hAnsi="Times New Roman" w:cs="Times New Roman"/>
        </w:rPr>
        <w:t>предоставяне на „ВиК“ услугите, р</w:t>
      </w:r>
      <w:r w:rsidRPr="00D6230D">
        <w:rPr>
          <w:rFonts w:ascii="Times New Roman" w:eastAsia="Calibri" w:hAnsi="Times New Roman" w:cs="Times New Roman"/>
        </w:rPr>
        <w:t>ехабилитация и реконструкция на съществуващите водоснаб</w:t>
      </w:r>
      <w:r>
        <w:rPr>
          <w:rFonts w:ascii="Times New Roman" w:eastAsia="Calibri" w:hAnsi="Times New Roman" w:cs="Times New Roman"/>
        </w:rPr>
        <w:t>дителни системи за питейна вода, както и п</w:t>
      </w:r>
      <w:r w:rsidRPr="00D6230D">
        <w:rPr>
          <w:rFonts w:ascii="Times New Roman" w:eastAsia="Calibri" w:hAnsi="Times New Roman" w:cs="Times New Roman"/>
        </w:rPr>
        <w:t>одобряване на качеството на питейната вода</w:t>
      </w:r>
      <w:r>
        <w:rPr>
          <w:rFonts w:ascii="Times New Roman" w:eastAsia="Calibri" w:hAnsi="Times New Roman" w:cs="Times New Roman"/>
        </w:rPr>
        <w:t>;</w:t>
      </w:r>
    </w:p>
    <w:p w:rsidR="000F2611" w:rsidRDefault="00D6230D" w:rsidP="00A10F5E">
      <w:pPr>
        <w:pStyle w:val="ListParagraph"/>
        <w:numPr>
          <w:ilvl w:val="0"/>
          <w:numId w:val="2"/>
        </w:numPr>
        <w:tabs>
          <w:tab w:val="left" w:pos="709"/>
        </w:tabs>
        <w:spacing w:after="0" w:line="240" w:lineRule="auto"/>
        <w:ind w:left="0" w:firstLine="567"/>
        <w:jc w:val="both"/>
        <w:rPr>
          <w:rFonts w:ascii="Times New Roman" w:hAnsi="Times New Roman" w:cs="Times New Roman"/>
          <w:color w:val="000000"/>
        </w:rPr>
      </w:pPr>
      <w:r w:rsidRPr="00D6230D">
        <w:rPr>
          <w:rFonts w:ascii="Times New Roman" w:eastAsia="Calibri" w:hAnsi="Times New Roman" w:cs="Times New Roman"/>
          <w:b/>
          <w:i/>
        </w:rPr>
        <w:lastRenderedPageBreak/>
        <w:t>Показател „Завършен пътен обект и/или благоустройствен обект“</w:t>
      </w:r>
      <w:r>
        <w:rPr>
          <w:rFonts w:ascii="Times New Roman" w:eastAsia="Calibri" w:hAnsi="Times New Roman" w:cs="Times New Roman"/>
          <w:b/>
          <w:i/>
        </w:rPr>
        <w:t xml:space="preserve"> </w:t>
      </w:r>
      <w:r w:rsidRPr="00D6230D">
        <w:rPr>
          <w:rFonts w:ascii="Times New Roman" w:eastAsia="Calibri" w:hAnsi="Times New Roman" w:cs="Times New Roman"/>
        </w:rPr>
        <w:t>измерва стратегическа цел</w:t>
      </w:r>
      <w:r w:rsidRPr="00D6230D">
        <w:rPr>
          <w:rFonts w:ascii="Times New Roman" w:hAnsi="Times New Roman" w:cs="Times New Roman"/>
          <w:color w:val="000000"/>
        </w:rPr>
        <w:t xml:space="preserve"> </w:t>
      </w:r>
      <w:r>
        <w:rPr>
          <w:rFonts w:ascii="Times New Roman" w:hAnsi="Times New Roman" w:cs="Times New Roman"/>
          <w:color w:val="000000"/>
        </w:rPr>
        <w:t>„</w:t>
      </w:r>
      <w:r w:rsidR="000F2611" w:rsidRPr="000F2611">
        <w:rPr>
          <w:rFonts w:ascii="Times New Roman" w:hAnsi="Times New Roman" w:cs="Times New Roman"/>
          <w:color w:val="000000"/>
        </w:rPr>
        <w:t>Качествено транспортно обслужване по общинските пътища</w:t>
      </w:r>
      <w:r w:rsidR="000F2611">
        <w:rPr>
          <w:rFonts w:ascii="Times New Roman" w:hAnsi="Times New Roman" w:cs="Times New Roman"/>
          <w:color w:val="000000"/>
        </w:rPr>
        <w:t>“ и „</w:t>
      </w:r>
      <w:r w:rsidR="000F2611" w:rsidRPr="000F2611">
        <w:rPr>
          <w:rFonts w:ascii="Times New Roman" w:hAnsi="Times New Roman" w:cs="Times New Roman"/>
          <w:color w:val="000000"/>
        </w:rPr>
        <w:t>Подобряване на качеството на жизнената среда</w:t>
      </w:r>
      <w:r w:rsidR="000F2611">
        <w:rPr>
          <w:rFonts w:ascii="Times New Roman" w:hAnsi="Times New Roman" w:cs="Times New Roman"/>
          <w:color w:val="000000"/>
        </w:rPr>
        <w:t>“;</w:t>
      </w:r>
    </w:p>
    <w:p w:rsidR="00511F1F" w:rsidRPr="000F2611" w:rsidRDefault="00790809" w:rsidP="00A10F5E">
      <w:pPr>
        <w:pStyle w:val="ListParagraph"/>
        <w:numPr>
          <w:ilvl w:val="0"/>
          <w:numId w:val="2"/>
        </w:numPr>
        <w:tabs>
          <w:tab w:val="left" w:pos="709"/>
        </w:tabs>
        <w:spacing w:after="0" w:line="240" w:lineRule="auto"/>
        <w:ind w:left="0" w:firstLine="567"/>
        <w:jc w:val="both"/>
        <w:rPr>
          <w:rFonts w:ascii="Times New Roman" w:hAnsi="Times New Roman" w:cs="Times New Roman"/>
          <w:color w:val="000000"/>
        </w:rPr>
      </w:pPr>
      <w:r w:rsidRPr="000F2611">
        <w:rPr>
          <w:rFonts w:ascii="Times New Roman" w:eastAsia="Calibri" w:hAnsi="Times New Roman" w:cs="Times New Roman"/>
          <w:b/>
          <w:i/>
        </w:rPr>
        <w:t>Показател „Завършени геозащитни обекти/брегоукрепени участъци</w:t>
      </w:r>
      <w:r w:rsidRPr="000F2611">
        <w:rPr>
          <w:rFonts w:ascii="Times New Roman" w:eastAsia="Calibri" w:hAnsi="Times New Roman" w:cs="Times New Roman"/>
          <w:b/>
          <w:i/>
          <w:vertAlign w:val="superscript"/>
        </w:rPr>
        <w:t xml:space="preserve">“ </w:t>
      </w:r>
      <w:r w:rsidRPr="000F2611">
        <w:rPr>
          <w:rFonts w:ascii="Times New Roman" w:eastAsia="Calibri" w:hAnsi="Times New Roman" w:cs="Times New Roman"/>
        </w:rPr>
        <w:t>измерва стратегическа цел „Изпълнение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p>
    <w:p w:rsidR="00790809" w:rsidRPr="00790809" w:rsidRDefault="00790809" w:rsidP="00A10F5E">
      <w:pPr>
        <w:pStyle w:val="ListParagraph"/>
        <w:numPr>
          <w:ilvl w:val="0"/>
          <w:numId w:val="2"/>
        </w:numPr>
        <w:tabs>
          <w:tab w:val="left" w:pos="709"/>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t>Показатели „</w:t>
      </w:r>
      <w:r w:rsidRPr="00790809">
        <w:rPr>
          <w:rFonts w:ascii="Times New Roman" w:eastAsia="Calibri" w:hAnsi="Times New Roman" w:cs="Times New Roman"/>
          <w:b/>
          <w:i/>
        </w:rPr>
        <w:t>Рехабилитирани и новоизградени учас</w:t>
      </w:r>
      <w:r>
        <w:rPr>
          <w:rFonts w:ascii="Times New Roman" w:eastAsia="Calibri" w:hAnsi="Times New Roman" w:cs="Times New Roman"/>
          <w:b/>
          <w:i/>
        </w:rPr>
        <w:t>тъци /в т.ч. аварийни дейности/“ и „</w:t>
      </w:r>
      <w:r w:rsidRPr="00790809">
        <w:rPr>
          <w:rFonts w:ascii="Times New Roman" w:eastAsia="Calibri" w:hAnsi="Times New Roman" w:cs="Times New Roman"/>
          <w:b/>
          <w:i/>
        </w:rPr>
        <w:t>Текущ ремонт и поддържане на РПМ</w:t>
      </w:r>
      <w:r>
        <w:rPr>
          <w:rFonts w:ascii="Times New Roman" w:eastAsia="Calibri" w:hAnsi="Times New Roman" w:cs="Times New Roman"/>
          <w:b/>
          <w:i/>
        </w:rPr>
        <w:t xml:space="preserve">“ </w:t>
      </w:r>
      <w:r w:rsidRPr="00790809">
        <w:rPr>
          <w:rFonts w:ascii="Times New Roman" w:eastAsia="Calibri" w:hAnsi="Times New Roman" w:cs="Times New Roman"/>
        </w:rPr>
        <w:t xml:space="preserve">са свързани с изпълнение на </w:t>
      </w:r>
      <w:r w:rsidR="00A00E23">
        <w:rPr>
          <w:rFonts w:ascii="Times New Roman" w:eastAsia="Calibri" w:hAnsi="Times New Roman" w:cs="Times New Roman"/>
        </w:rPr>
        <w:t>стратегическите цели в областта на и</w:t>
      </w:r>
      <w:r w:rsidR="00A00E23" w:rsidRPr="00A00E23">
        <w:rPr>
          <w:rFonts w:ascii="Times New Roman" w:eastAsia="Calibri" w:hAnsi="Times New Roman" w:cs="Times New Roman"/>
        </w:rPr>
        <w:t>зграждане</w:t>
      </w:r>
      <w:r w:rsidR="00A00E23">
        <w:rPr>
          <w:rFonts w:ascii="Times New Roman" w:eastAsia="Calibri" w:hAnsi="Times New Roman" w:cs="Times New Roman"/>
        </w:rPr>
        <w:t>то</w:t>
      </w:r>
      <w:r w:rsidR="00A00E23" w:rsidRPr="00A00E23">
        <w:rPr>
          <w:rFonts w:ascii="Times New Roman" w:eastAsia="Calibri" w:hAnsi="Times New Roman" w:cs="Times New Roman"/>
        </w:rPr>
        <w:t xml:space="preserve"> на модерна и безопасна пътна инфраструктура</w:t>
      </w:r>
      <w:r w:rsidR="00A00E23">
        <w:rPr>
          <w:rFonts w:ascii="Times New Roman" w:eastAsia="Calibri" w:hAnsi="Times New Roman" w:cs="Times New Roman"/>
        </w:rPr>
        <w:t>.</w:t>
      </w:r>
    </w:p>
    <w:p w:rsidR="00790809" w:rsidRPr="00790809" w:rsidRDefault="00790809" w:rsidP="00A10F5E">
      <w:pPr>
        <w:pStyle w:val="ListParagraph"/>
        <w:tabs>
          <w:tab w:val="left" w:pos="709"/>
        </w:tabs>
        <w:spacing w:after="0" w:line="240" w:lineRule="auto"/>
        <w:ind w:left="567"/>
        <w:jc w:val="both"/>
        <w:rPr>
          <w:rFonts w:ascii="Times New Roman" w:eastAsia="Calibri" w:hAnsi="Times New Roman" w:cs="Times New Roman"/>
        </w:rPr>
      </w:pPr>
    </w:p>
    <w:p w:rsidR="006B2804" w:rsidRDefault="006B2804" w:rsidP="00CD19BF">
      <w:pPr>
        <w:spacing w:after="0" w:line="240" w:lineRule="auto"/>
        <w:ind w:firstLine="567"/>
        <w:jc w:val="both"/>
        <w:rPr>
          <w:rFonts w:ascii="Times New Roman" w:hAnsi="Times New Roman" w:cs="Times New Roman"/>
          <w:b/>
          <w:i/>
          <w:color w:val="0000CC"/>
        </w:rPr>
      </w:pPr>
      <w:r w:rsidRPr="0025354B">
        <w:rPr>
          <w:rFonts w:ascii="Times New Roman" w:eastAsia="Calibri" w:hAnsi="Times New Roman" w:cs="Times New Roman"/>
          <w:b/>
          <w:i/>
          <w:color w:val="0000CC"/>
        </w:rPr>
        <w:t xml:space="preserve">2100.03.00 </w:t>
      </w:r>
      <w:r w:rsidR="00740960" w:rsidRPr="0025354B">
        <w:rPr>
          <w:rFonts w:ascii="Times New Roman" w:eastAsia="Calibri" w:hAnsi="Times New Roman" w:cs="Times New Roman"/>
          <w:b/>
          <w:i/>
          <w:color w:val="0000CC"/>
        </w:rPr>
        <w:t xml:space="preserve"> „</w:t>
      </w:r>
      <w:r w:rsidRPr="0025354B">
        <w:rPr>
          <w:rFonts w:ascii="Times New Roman" w:eastAsia="Calibri" w:hAnsi="Times New Roman" w:cs="Times New Roman"/>
          <w:b/>
          <w:i/>
          <w:color w:val="0000CC"/>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740960" w:rsidRPr="0025354B">
        <w:rPr>
          <w:rFonts w:ascii="Times New Roman" w:hAnsi="Times New Roman" w:cs="Times New Roman"/>
          <w:b/>
          <w:i/>
          <w:color w:val="0000CC"/>
        </w:rPr>
        <w:t>“</w:t>
      </w:r>
    </w:p>
    <w:p w:rsidR="00CD19BF" w:rsidRPr="0025354B" w:rsidRDefault="00CD19BF" w:rsidP="00CD19BF">
      <w:pPr>
        <w:spacing w:after="0" w:line="240" w:lineRule="auto"/>
        <w:ind w:firstLine="567"/>
        <w:jc w:val="both"/>
        <w:rPr>
          <w:rFonts w:ascii="Calibri" w:eastAsia="Calibri" w:hAnsi="Calibri" w:cs="Times New Roman"/>
          <w:color w:val="0000CC"/>
        </w:rPr>
      </w:pPr>
    </w:p>
    <w:p w:rsidR="006B2804" w:rsidRPr="0025354B" w:rsidRDefault="006B2804" w:rsidP="00A10F5E">
      <w:pPr>
        <w:pStyle w:val="ListParagraph"/>
        <w:numPr>
          <w:ilvl w:val="0"/>
          <w:numId w:val="1"/>
        </w:numPr>
        <w:spacing w:after="0" w:line="240" w:lineRule="auto"/>
        <w:ind w:firstLine="65"/>
        <w:jc w:val="both"/>
        <w:rPr>
          <w:rFonts w:ascii="Times New Roman" w:hAnsi="Times New Roman" w:cs="Times New Roman"/>
          <w:b/>
          <w:i/>
          <w:color w:val="0000CC"/>
        </w:rPr>
      </w:pPr>
      <w:r w:rsidRPr="0025354B">
        <w:rPr>
          <w:rFonts w:ascii="Times New Roman" w:hAnsi="Times New Roman" w:cs="Times New Roman"/>
          <w:b/>
          <w:i/>
          <w:color w:val="0000CC"/>
        </w:rPr>
        <w:t>Кратко описание на обхвата на областта на политиката, за която ПРБ отговаря</w:t>
      </w:r>
    </w:p>
    <w:p w:rsidR="000021D3" w:rsidRPr="0025354B" w:rsidRDefault="000021D3"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rPr>
        <w:t xml:space="preserve">Агенцията по геодезия, картография и кадастър (АГКК)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w:t>
      </w:r>
    </w:p>
    <w:p w:rsidR="000021D3" w:rsidRPr="0025354B" w:rsidRDefault="000021D3"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w:t>
      </w:r>
    </w:p>
    <w:p w:rsidR="000021D3" w:rsidRPr="0025354B" w:rsidRDefault="000021D3" w:rsidP="00A10F5E">
      <w:pPr>
        <w:pStyle w:val="NormalWeb"/>
        <w:tabs>
          <w:tab w:val="left" w:pos="851"/>
        </w:tabs>
        <w:spacing w:before="0" w:beforeAutospacing="0" w:after="0" w:afterAutospacing="0"/>
        <w:ind w:firstLine="567"/>
        <w:jc w:val="both"/>
        <w:rPr>
          <w:color w:val="auto"/>
          <w:sz w:val="22"/>
          <w:szCs w:val="22"/>
          <w:lang w:val="bg-BG"/>
        </w:rPr>
      </w:pPr>
      <w:r w:rsidRPr="0025354B">
        <w:rPr>
          <w:color w:val="auto"/>
          <w:sz w:val="22"/>
          <w:szCs w:val="22"/>
          <w:lang w:val="bg-BG"/>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rsidR="000021D3" w:rsidRPr="0025354B" w:rsidRDefault="000021D3"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rPr>
        <w:t>АГКК е единственият държавен орган с отговорност по</w:t>
      </w:r>
      <w:r w:rsidRPr="0025354B">
        <w:rPr>
          <w:rFonts w:ascii="Times New Roman" w:hAnsi="Times New Roman" w:cs="Times New Roman"/>
          <w:lang w:val="en-US"/>
        </w:rPr>
        <w:t>:</w:t>
      </w:r>
      <w:r w:rsidRPr="0025354B">
        <w:rPr>
          <w:rFonts w:ascii="Times New Roman" w:hAnsi="Times New Roman" w:cs="Times New Roman"/>
        </w:rPr>
        <w:t xml:space="preserve"> създаване, поддържане и издаване на държавните топографски карти в мащаби 1:5000 и 1:10 000 за територията на страната и българската база в Антарктика</w:t>
      </w:r>
      <w:r w:rsidRPr="0025354B">
        <w:rPr>
          <w:rFonts w:ascii="Times New Roman" w:hAnsi="Times New Roman" w:cs="Times New Roman"/>
          <w:lang w:val="en-US"/>
        </w:rPr>
        <w:t xml:space="preserve">; </w:t>
      </w:r>
      <w:r w:rsidRPr="0025354B">
        <w:rPr>
          <w:rFonts w:ascii="Times New Roman" w:hAnsi="Times New Roman" w:cs="Times New Roman"/>
        </w:rPr>
        <w:t xml:space="preserve">създаване и поддържане на регистър на географските имена в Република България; създаване и поддържане на Държавната нивелачна мрежа </w:t>
      </w:r>
      <w:r w:rsidRPr="0025354B">
        <w:rPr>
          <w:rFonts w:ascii="Times New Roman" w:hAnsi="Times New Roman" w:cs="Times New Roman"/>
          <w:lang w:val="en-US"/>
        </w:rPr>
        <w:t>I</w:t>
      </w:r>
      <w:r w:rsidRPr="0025354B">
        <w:rPr>
          <w:rFonts w:ascii="Times New Roman" w:hAnsi="Times New Roman" w:cs="Times New Roman"/>
        </w:rPr>
        <w:t xml:space="preserve"> и </w:t>
      </w:r>
      <w:r w:rsidRPr="0025354B">
        <w:rPr>
          <w:rFonts w:ascii="Times New Roman" w:hAnsi="Times New Roman" w:cs="Times New Roman"/>
          <w:lang w:val="en-US"/>
        </w:rPr>
        <w:t>II</w:t>
      </w:r>
      <w:r w:rsidRPr="0025354B">
        <w:rPr>
          <w:rFonts w:ascii="Times New Roman" w:hAnsi="Times New Roman" w:cs="Times New Roman"/>
        </w:rPr>
        <w:t xml:space="preserve"> клас, която установява единна система от височини за цялата територия на страната и служи за основа на всички височинни измервания,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w:t>
      </w:r>
      <w:r w:rsidRPr="0025354B">
        <w:rPr>
          <w:rFonts w:ascii="Times New Roman" w:hAnsi="Times New Roman" w:cs="Times New Roman"/>
          <w:lang w:val="en-US"/>
        </w:rPr>
        <w:t xml:space="preserve">.; </w:t>
      </w:r>
      <w:r w:rsidRPr="0025354B">
        <w:rPr>
          <w:rFonts w:ascii="Times New Roman" w:hAnsi="Times New Roman" w:cs="Times New Roman"/>
        </w:rPr>
        <w:t>създаване и поддържане на Държавната гравиметрична мрежа.</w:t>
      </w:r>
    </w:p>
    <w:p w:rsidR="000021D3" w:rsidRPr="0025354B" w:rsidRDefault="000021D3"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rsidR="000021D3" w:rsidRPr="0025354B" w:rsidRDefault="000021D3"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rPr>
        <w:t xml:space="preserve">С изпълнение на горепосочените дейности АГКК осигурява и поддържа в национален мащаб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 </w:t>
      </w:r>
    </w:p>
    <w:p w:rsidR="00D000A3" w:rsidRPr="0025354B" w:rsidRDefault="00D000A3" w:rsidP="00A10F5E">
      <w:pPr>
        <w:tabs>
          <w:tab w:val="left" w:pos="851"/>
        </w:tabs>
        <w:spacing w:after="0" w:line="240" w:lineRule="auto"/>
        <w:ind w:firstLine="567"/>
        <w:jc w:val="both"/>
        <w:rPr>
          <w:rFonts w:ascii="Times New Roman" w:eastAsia="Times New Roman" w:hAnsi="Times New Roman" w:cs="Times New Roman"/>
          <w:lang w:eastAsia="bg-BG"/>
        </w:rPr>
      </w:pPr>
      <w:r w:rsidRPr="0025354B">
        <w:rPr>
          <w:rFonts w:ascii="Times New Roman" w:eastAsia="Times New Roman" w:hAnsi="Times New Roman" w:cs="Times New Roman"/>
          <w:lang w:eastAsia="bg-BG"/>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w:t>
      </w:r>
      <w:r w:rsidRPr="0025354B">
        <w:rPr>
          <w:rFonts w:ascii="Times New Roman" w:eastAsia="Times New Roman" w:hAnsi="Times New Roman" w:cs="Times New Roman"/>
          <w:lang w:eastAsia="bg-BG"/>
        </w:rPr>
        <w:lastRenderedPageBreak/>
        <w:t xml:space="preserve">достъпността и другите нормативни изисквания към строежите. </w:t>
      </w:r>
      <w:r w:rsidRPr="0025354B">
        <w:rPr>
          <w:rFonts w:ascii="Times New Roman" w:eastAsia="Times New Roman" w:hAnsi="Times New Roman" w:cs="Times New Roman"/>
        </w:rPr>
        <w:t>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D000A3" w:rsidRPr="0025354B" w:rsidRDefault="00D000A3" w:rsidP="00A10F5E">
      <w:pPr>
        <w:spacing w:after="0" w:line="240" w:lineRule="auto"/>
        <w:ind w:firstLine="567"/>
        <w:jc w:val="both"/>
        <w:rPr>
          <w:rFonts w:ascii="Times New Roman" w:hAnsi="Times New Roman" w:cs="Times New Roman"/>
          <w:b/>
        </w:rPr>
      </w:pPr>
      <w:r w:rsidRPr="0025354B">
        <w:rPr>
          <w:rFonts w:ascii="Times New Roman" w:eastAsia="Times New Roman" w:hAnsi="Times New Roman" w:cs="Times New Roman"/>
          <w:lang w:eastAsia="bg-BG"/>
        </w:rPr>
        <w:t xml:space="preserve">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396D66" w:rsidRPr="00396D66" w:rsidRDefault="00396D66" w:rsidP="00A10F5E">
      <w:pPr>
        <w:tabs>
          <w:tab w:val="left" w:pos="851"/>
        </w:tabs>
        <w:spacing w:after="0" w:line="240" w:lineRule="auto"/>
        <w:ind w:firstLine="567"/>
        <w:jc w:val="both"/>
        <w:rPr>
          <w:rFonts w:ascii="Times New Roman" w:hAnsi="Times New Roman" w:cs="Times New Roman"/>
        </w:rPr>
      </w:pPr>
      <w:r w:rsidRPr="00396D66">
        <w:rPr>
          <w:rFonts w:ascii="Times New Roman" w:hAnsi="Times New Roman" w:cs="Times New Roman"/>
        </w:rPr>
        <w:t>Дирекция „Технически правила и норми“ (ТПН) в МРРБ отговаря за хармонизацията на техническата нормативна уредба за проектиране, изпълнение и експлоатация на строежите с правото на ЕС, осигуряването на свободното движение на строителните продукти и влагането им в строежите при осигуряване изпълнението на основните изисквания към строежите.</w:t>
      </w:r>
    </w:p>
    <w:p w:rsidR="00396D66" w:rsidRPr="00396D66" w:rsidRDefault="00396D66" w:rsidP="00A10F5E">
      <w:pPr>
        <w:tabs>
          <w:tab w:val="left" w:pos="851"/>
        </w:tabs>
        <w:spacing w:after="0" w:line="240" w:lineRule="auto"/>
        <w:ind w:firstLine="567"/>
        <w:jc w:val="both"/>
        <w:rPr>
          <w:rFonts w:ascii="Times New Roman" w:hAnsi="Times New Roman" w:cs="Times New Roman"/>
        </w:rPr>
      </w:pPr>
      <w:r w:rsidRPr="00396D66">
        <w:rPr>
          <w:rFonts w:ascii="Times New Roman" w:hAnsi="Times New Roman" w:cs="Times New Roman"/>
        </w:rPr>
        <w:t>Дирекция</w:t>
      </w:r>
      <w:r w:rsidRPr="00396D66">
        <w:rPr>
          <w:rFonts w:ascii="Times New Roman" w:hAnsi="Times New Roman" w:cs="Times New Roman"/>
          <w:lang w:val="en-US"/>
        </w:rPr>
        <w:t>та</w:t>
      </w:r>
      <w:r w:rsidRPr="00396D66">
        <w:rPr>
          <w:rFonts w:ascii="Times New Roman" w:hAnsi="Times New Roman" w:cs="Times New Roman"/>
        </w:rPr>
        <w:t xml:space="preserve"> работи за осъществяването на държавна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Дирекцията осъществява дейност в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rsidR="00396D66" w:rsidRPr="00396D66" w:rsidRDefault="00396D66" w:rsidP="00A10F5E">
      <w:pPr>
        <w:tabs>
          <w:tab w:val="left" w:pos="851"/>
        </w:tabs>
        <w:spacing w:after="0" w:line="240" w:lineRule="auto"/>
        <w:ind w:firstLine="567"/>
        <w:jc w:val="both"/>
        <w:rPr>
          <w:rFonts w:ascii="Times New Roman" w:hAnsi="Times New Roman" w:cs="Times New Roman"/>
        </w:rPr>
      </w:pPr>
      <w:r w:rsidRPr="00396D66">
        <w:rPr>
          <w:rFonts w:ascii="Times New Roman" w:hAnsi="Times New Roman" w:cs="Times New Roman"/>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396D66" w:rsidRDefault="00396D66" w:rsidP="00A10F5E">
      <w:pPr>
        <w:tabs>
          <w:tab w:val="left" w:pos="851"/>
        </w:tabs>
        <w:spacing w:after="0" w:line="240" w:lineRule="auto"/>
        <w:ind w:firstLine="567"/>
        <w:jc w:val="both"/>
        <w:rPr>
          <w:rFonts w:ascii="Times New Roman" w:hAnsi="Times New Roman" w:cs="Times New Roman"/>
        </w:rPr>
      </w:pPr>
      <w:r w:rsidRPr="00396D66">
        <w:rPr>
          <w:rFonts w:ascii="Times New Roman" w:hAnsi="Times New Roman" w:cs="Times New Roman"/>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396D66" w:rsidRPr="00396D66" w:rsidRDefault="00396D66" w:rsidP="00A10F5E">
      <w:pPr>
        <w:tabs>
          <w:tab w:val="left" w:pos="851"/>
        </w:tabs>
        <w:spacing w:after="0" w:line="240" w:lineRule="auto"/>
        <w:ind w:firstLine="567"/>
        <w:jc w:val="both"/>
        <w:rPr>
          <w:rFonts w:ascii="Times New Roman" w:hAnsi="Times New Roman" w:cs="Times New Roman"/>
          <w:b/>
          <w:i/>
        </w:rPr>
      </w:pPr>
      <w:r>
        <w:rPr>
          <w:rFonts w:ascii="Times New Roman" w:hAnsi="Times New Roman" w:cs="Times New Roman"/>
          <w:b/>
          <w:i/>
        </w:rPr>
        <w:t>Стратегически цели</w:t>
      </w:r>
    </w:p>
    <w:p w:rsidR="008A3050" w:rsidRP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8A3050" w:rsidRP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8A3050" w:rsidRP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8A3050" w:rsidRP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8A3050" w:rsidRP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p>
    <w:p w:rsidR="008A3050" w:rsidRDefault="008A3050" w:rsidP="00A10F5E">
      <w:pPr>
        <w:numPr>
          <w:ilvl w:val="0"/>
          <w:numId w:val="31"/>
        </w:numPr>
        <w:tabs>
          <w:tab w:val="left" w:pos="709"/>
        </w:tabs>
        <w:spacing w:after="0" w:line="240" w:lineRule="auto"/>
        <w:ind w:left="0" w:firstLine="568"/>
        <w:jc w:val="both"/>
        <w:rPr>
          <w:rFonts w:ascii="Times New Roman" w:hAnsi="Times New Roman" w:cs="Times New Roman"/>
        </w:rPr>
      </w:pPr>
      <w:r w:rsidRPr="008A3050">
        <w:rPr>
          <w:rFonts w:ascii="Times New Roman" w:hAnsi="Times New Roman" w:cs="Times New Roman"/>
        </w:rPr>
        <w:t>Осигуряване на актуална информация за националните изисквания към строителните продукти в зависимост от</w:t>
      </w:r>
      <w:r>
        <w:rPr>
          <w:rFonts w:ascii="Times New Roman" w:hAnsi="Times New Roman" w:cs="Times New Roman"/>
        </w:rPr>
        <w:t xml:space="preserve"> предвидената им употреба;</w:t>
      </w:r>
    </w:p>
    <w:p w:rsidR="008A3050" w:rsidRPr="008A3050" w:rsidRDefault="00A97FFD" w:rsidP="00A10F5E">
      <w:pPr>
        <w:numPr>
          <w:ilvl w:val="0"/>
          <w:numId w:val="31"/>
        </w:numPr>
        <w:tabs>
          <w:tab w:val="left" w:pos="709"/>
        </w:tabs>
        <w:spacing w:after="0" w:line="240" w:lineRule="auto"/>
        <w:ind w:left="0" w:firstLine="568"/>
        <w:jc w:val="both"/>
        <w:rPr>
          <w:rFonts w:ascii="Times New Roman" w:hAnsi="Times New Roman" w:cs="Times New Roman"/>
        </w:rPr>
      </w:pPr>
      <w:r w:rsidRPr="00A97FFD">
        <w:rPr>
          <w:rFonts w:ascii="Times New Roman" w:hAnsi="Times New Roman" w:cs="Times New Roman"/>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A97FFD" w:rsidRPr="00A97FFD" w:rsidRDefault="00A97FFD" w:rsidP="00A10F5E">
      <w:pPr>
        <w:pStyle w:val="ListParagraph"/>
        <w:numPr>
          <w:ilvl w:val="0"/>
          <w:numId w:val="31"/>
        </w:numPr>
        <w:spacing w:after="0" w:line="240" w:lineRule="auto"/>
        <w:ind w:left="0" w:firstLine="568"/>
        <w:jc w:val="both"/>
        <w:rPr>
          <w:rFonts w:ascii="Times New Roman" w:eastAsia="Times New Roman" w:hAnsi="Times New Roman"/>
          <w:lang w:eastAsia="bg-BG"/>
        </w:rPr>
      </w:pPr>
      <w:r w:rsidRPr="00A97FFD">
        <w:rPr>
          <w:rFonts w:ascii="Times New Roman" w:eastAsia="Times New Roman" w:hAnsi="Times New Roman"/>
          <w:lang w:eastAsia="bg-BG"/>
        </w:rPr>
        <w:t>Покриване на територията на страната с кадастрална карта;</w:t>
      </w:r>
    </w:p>
    <w:p w:rsidR="00A97FFD" w:rsidRPr="00A97FFD" w:rsidRDefault="00A97FFD" w:rsidP="00A10F5E">
      <w:pPr>
        <w:pStyle w:val="ListParagraph"/>
        <w:numPr>
          <w:ilvl w:val="0"/>
          <w:numId w:val="31"/>
        </w:numPr>
        <w:spacing w:after="0" w:line="240" w:lineRule="auto"/>
        <w:ind w:left="0" w:firstLine="568"/>
        <w:jc w:val="both"/>
        <w:rPr>
          <w:rFonts w:ascii="Times New Roman" w:eastAsia="Times New Roman" w:hAnsi="Times New Roman"/>
          <w:lang w:eastAsia="bg-BG"/>
        </w:rPr>
      </w:pPr>
      <w:r w:rsidRPr="00A97FFD">
        <w:rPr>
          <w:rFonts w:ascii="Times New Roman" w:eastAsia="Times New Roman" w:hAnsi="Times New Roman"/>
          <w:lang w:eastAsia="bg-BG"/>
        </w:rPr>
        <w:lastRenderedPageBreak/>
        <w:t>Подобряване на качеството на услугите за клиентите с геоинформация, увеличаване дела на електронните услуги;</w:t>
      </w:r>
    </w:p>
    <w:p w:rsidR="00A97FFD" w:rsidRPr="00A97FFD" w:rsidRDefault="00A97FFD" w:rsidP="00A10F5E">
      <w:pPr>
        <w:pStyle w:val="ListParagraph"/>
        <w:numPr>
          <w:ilvl w:val="0"/>
          <w:numId w:val="31"/>
        </w:numPr>
        <w:spacing w:after="0" w:line="240" w:lineRule="auto"/>
        <w:ind w:left="0" w:firstLine="568"/>
        <w:jc w:val="both"/>
        <w:rPr>
          <w:rFonts w:ascii="Times New Roman" w:eastAsia="Times New Roman" w:hAnsi="Times New Roman"/>
          <w:lang w:eastAsia="bg-BG"/>
        </w:rPr>
      </w:pPr>
      <w:r w:rsidRPr="00A97FFD">
        <w:rPr>
          <w:rFonts w:ascii="Times New Roman" w:eastAsia="Times New Roman" w:hAnsi="Times New Roman"/>
          <w:lang w:eastAsia="bg-BG"/>
        </w:rPr>
        <w:t>Създаване на цялостен електронен геоинформационен архив, съдържащ всички картографски материали налични в Геокартфонда на АГКК;</w:t>
      </w:r>
    </w:p>
    <w:p w:rsidR="00396D66" w:rsidRPr="008A3050" w:rsidRDefault="00A97FFD" w:rsidP="00A10F5E">
      <w:pPr>
        <w:tabs>
          <w:tab w:val="left" w:pos="709"/>
        </w:tabs>
        <w:spacing w:after="0" w:line="240" w:lineRule="auto"/>
        <w:ind w:firstLine="568"/>
        <w:jc w:val="both"/>
        <w:rPr>
          <w:rFonts w:ascii="Times New Roman" w:hAnsi="Times New Roman" w:cs="Times New Roman"/>
        </w:rPr>
      </w:pPr>
      <w:r w:rsidRPr="00A97FFD">
        <w:rPr>
          <w:rFonts w:ascii="Times New Roman" w:eastAsia="Times New Roman" w:hAnsi="Times New Roman"/>
          <w:lang w:eastAsia="bg-BG"/>
        </w:rPr>
        <w:t>Поддържане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p>
    <w:p w:rsidR="00396D66" w:rsidRPr="00396D66" w:rsidRDefault="00396D66" w:rsidP="00A10F5E">
      <w:pPr>
        <w:tabs>
          <w:tab w:val="left" w:pos="851"/>
        </w:tabs>
        <w:spacing w:after="0" w:line="240" w:lineRule="auto"/>
        <w:ind w:firstLine="567"/>
        <w:jc w:val="both"/>
        <w:rPr>
          <w:rFonts w:ascii="Times New Roman" w:hAnsi="Times New Roman" w:cs="Times New Roman"/>
        </w:rPr>
      </w:pPr>
    </w:p>
    <w:p w:rsidR="006B2804" w:rsidRDefault="006B2804" w:rsidP="00CD19BF">
      <w:pPr>
        <w:pStyle w:val="ListParagraph"/>
        <w:numPr>
          <w:ilvl w:val="0"/>
          <w:numId w:val="1"/>
        </w:numPr>
        <w:spacing w:after="0" w:line="240" w:lineRule="auto"/>
        <w:ind w:firstLine="65"/>
        <w:jc w:val="both"/>
        <w:rPr>
          <w:rFonts w:ascii="Times New Roman" w:hAnsi="Times New Roman" w:cs="Times New Roman"/>
          <w:b/>
          <w:i/>
          <w:color w:val="0000CC"/>
        </w:rPr>
      </w:pPr>
      <w:r w:rsidRPr="0025354B">
        <w:rPr>
          <w:rFonts w:ascii="Times New Roman" w:hAnsi="Times New Roman" w:cs="Times New Roman"/>
          <w:b/>
          <w:i/>
          <w:color w:val="0000CC"/>
        </w:rPr>
        <w:t>Отговорност за разпределението на публичните разходи за политиката</w:t>
      </w:r>
    </w:p>
    <w:tbl>
      <w:tblPr>
        <w:tblW w:w="9634" w:type="dxa"/>
        <w:tblInd w:w="75" w:type="dxa"/>
        <w:tblCellMar>
          <w:left w:w="70" w:type="dxa"/>
          <w:right w:w="70" w:type="dxa"/>
        </w:tblCellMar>
        <w:tblLook w:val="04A0" w:firstRow="1" w:lastRow="0" w:firstColumn="1" w:lastColumn="0" w:noHBand="0" w:noVBand="1"/>
      </w:tblPr>
      <w:tblGrid>
        <w:gridCol w:w="4673"/>
        <w:gridCol w:w="1417"/>
        <w:gridCol w:w="992"/>
        <w:gridCol w:w="1155"/>
        <w:gridCol w:w="1397"/>
      </w:tblGrid>
      <w:tr w:rsidR="005348E4" w:rsidRPr="005348E4" w:rsidTr="00CD19BF">
        <w:trPr>
          <w:trHeight w:val="480"/>
        </w:trPr>
        <w:tc>
          <w:tcPr>
            <w:tcW w:w="4673"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Област на политика (в хил.лв.)</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 </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Общо разходи</w:t>
            </w:r>
          </w:p>
        </w:tc>
        <w:tc>
          <w:tcPr>
            <w:tcW w:w="1155"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По бюджета на ПРБ</w:t>
            </w:r>
          </w:p>
        </w:tc>
        <w:tc>
          <w:tcPr>
            <w:tcW w:w="1397" w:type="dxa"/>
            <w:tcBorders>
              <w:top w:val="single" w:sz="4" w:space="0" w:color="auto"/>
              <w:left w:val="nil"/>
              <w:bottom w:val="single" w:sz="4" w:space="0" w:color="auto"/>
              <w:right w:val="single" w:sz="4" w:space="0" w:color="auto"/>
            </w:tcBorders>
            <w:shd w:val="clear" w:color="000000" w:fill="FCD5B4"/>
            <w:vAlign w:val="center"/>
            <w:hideMark/>
          </w:tcPr>
          <w:p w:rsidR="005348E4" w:rsidRPr="005348E4" w:rsidRDefault="005348E4" w:rsidP="00A10F5E">
            <w:pPr>
              <w:spacing w:after="0" w:line="240" w:lineRule="auto"/>
              <w:jc w:val="center"/>
              <w:rPr>
                <w:rFonts w:ascii="Times New Roman" w:eastAsia="Times New Roman" w:hAnsi="Times New Roman" w:cs="Times New Roman"/>
                <w:b/>
                <w:bCs/>
                <w:i/>
                <w:iCs/>
                <w:color w:val="000000"/>
                <w:sz w:val="18"/>
                <w:szCs w:val="18"/>
                <w:lang w:eastAsia="bg-BG"/>
              </w:rPr>
            </w:pPr>
            <w:r w:rsidRPr="005348E4">
              <w:rPr>
                <w:rFonts w:ascii="Times New Roman" w:eastAsia="Times New Roman" w:hAnsi="Times New Roman" w:cs="Times New Roman"/>
                <w:b/>
                <w:bCs/>
                <w:i/>
                <w:iCs/>
                <w:color w:val="000000"/>
                <w:sz w:val="18"/>
                <w:szCs w:val="18"/>
                <w:lang w:eastAsia="bg-BG"/>
              </w:rPr>
              <w:t>По други бюджети и сметки за СЕС</w:t>
            </w:r>
          </w:p>
        </w:tc>
      </w:tr>
      <w:tr w:rsidR="005348E4" w:rsidRPr="005348E4" w:rsidTr="00CD19BF">
        <w:trPr>
          <w:trHeight w:val="338"/>
        </w:trPr>
        <w:tc>
          <w:tcPr>
            <w:tcW w:w="4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141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Проект 2022 г.</w:t>
            </w:r>
          </w:p>
        </w:tc>
        <w:tc>
          <w:tcPr>
            <w:tcW w:w="992"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35 533,3</w:t>
            </w:r>
          </w:p>
        </w:tc>
        <w:tc>
          <w:tcPr>
            <w:tcW w:w="1155"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35 533,3</w:t>
            </w:r>
          </w:p>
        </w:tc>
        <w:tc>
          <w:tcPr>
            <w:tcW w:w="139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0,0</w:t>
            </w:r>
          </w:p>
        </w:tc>
      </w:tr>
      <w:tr w:rsidR="005348E4" w:rsidRPr="005348E4" w:rsidTr="00CD19BF">
        <w:trPr>
          <w:trHeight w:val="338"/>
        </w:trPr>
        <w:tc>
          <w:tcPr>
            <w:tcW w:w="4673"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41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2023 г.</w:t>
            </w:r>
          </w:p>
        </w:tc>
        <w:tc>
          <w:tcPr>
            <w:tcW w:w="992"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34 533,3</w:t>
            </w:r>
          </w:p>
        </w:tc>
        <w:tc>
          <w:tcPr>
            <w:tcW w:w="1155"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34 533,3</w:t>
            </w:r>
          </w:p>
        </w:tc>
        <w:tc>
          <w:tcPr>
            <w:tcW w:w="139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0,0</w:t>
            </w:r>
          </w:p>
        </w:tc>
      </w:tr>
      <w:tr w:rsidR="005348E4" w:rsidRPr="005348E4" w:rsidTr="00CD19BF">
        <w:trPr>
          <w:trHeight w:val="339"/>
        </w:trPr>
        <w:tc>
          <w:tcPr>
            <w:tcW w:w="4673" w:type="dxa"/>
            <w:vMerge/>
            <w:tcBorders>
              <w:top w:val="nil"/>
              <w:left w:val="single" w:sz="4" w:space="0" w:color="auto"/>
              <w:bottom w:val="single" w:sz="4" w:space="0" w:color="auto"/>
              <w:right w:val="single" w:sz="4" w:space="0" w:color="auto"/>
            </w:tcBorders>
            <w:vAlign w:val="center"/>
            <w:hideMark/>
          </w:tcPr>
          <w:p w:rsidR="005348E4" w:rsidRPr="005348E4" w:rsidRDefault="005348E4" w:rsidP="00A10F5E">
            <w:pPr>
              <w:spacing w:after="0" w:line="240" w:lineRule="auto"/>
              <w:rPr>
                <w:rFonts w:ascii="Times New Roman" w:eastAsia="Times New Roman" w:hAnsi="Times New Roman" w:cs="Times New Roman"/>
                <w:color w:val="000000"/>
                <w:sz w:val="18"/>
                <w:szCs w:val="18"/>
                <w:lang w:eastAsia="bg-BG"/>
              </w:rPr>
            </w:pPr>
          </w:p>
        </w:tc>
        <w:tc>
          <w:tcPr>
            <w:tcW w:w="141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CD19BF">
            <w:pPr>
              <w:spacing w:after="0" w:line="240" w:lineRule="auto"/>
              <w:ind w:left="-57" w:right="-57"/>
              <w:rPr>
                <w:rFonts w:ascii="Times New Roman" w:eastAsia="Times New Roman" w:hAnsi="Times New Roman" w:cs="Times New Roman"/>
                <w:i/>
                <w:iCs/>
                <w:color w:val="000000"/>
                <w:sz w:val="18"/>
                <w:szCs w:val="18"/>
                <w:lang w:eastAsia="bg-BG"/>
              </w:rPr>
            </w:pPr>
            <w:r w:rsidRPr="005348E4">
              <w:rPr>
                <w:rFonts w:ascii="Times New Roman" w:eastAsia="Times New Roman" w:hAnsi="Times New Roman" w:cs="Times New Roman"/>
                <w:i/>
                <w:iCs/>
                <w:color w:val="000000"/>
                <w:sz w:val="18"/>
                <w:szCs w:val="18"/>
                <w:lang w:eastAsia="bg-BG"/>
              </w:rPr>
              <w:t>Прогноза 2024 г.</w:t>
            </w:r>
          </w:p>
        </w:tc>
        <w:tc>
          <w:tcPr>
            <w:tcW w:w="992"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34 583,3</w:t>
            </w:r>
          </w:p>
        </w:tc>
        <w:tc>
          <w:tcPr>
            <w:tcW w:w="1155"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34 583,3</w:t>
            </w:r>
          </w:p>
        </w:tc>
        <w:tc>
          <w:tcPr>
            <w:tcW w:w="1397" w:type="dxa"/>
            <w:tcBorders>
              <w:top w:val="nil"/>
              <w:left w:val="nil"/>
              <w:bottom w:val="single" w:sz="4" w:space="0" w:color="auto"/>
              <w:right w:val="single" w:sz="4" w:space="0" w:color="auto"/>
            </w:tcBorders>
            <w:shd w:val="clear" w:color="000000" w:fill="FFFFFF"/>
            <w:vAlign w:val="center"/>
            <w:hideMark/>
          </w:tcPr>
          <w:p w:rsidR="005348E4" w:rsidRPr="005348E4" w:rsidRDefault="005348E4" w:rsidP="00A10F5E">
            <w:pPr>
              <w:spacing w:after="0" w:line="240" w:lineRule="auto"/>
              <w:jc w:val="center"/>
              <w:rPr>
                <w:rFonts w:ascii="Times New Roman" w:eastAsia="Times New Roman" w:hAnsi="Times New Roman" w:cs="Times New Roman"/>
                <w:color w:val="000000"/>
                <w:sz w:val="18"/>
                <w:szCs w:val="18"/>
                <w:lang w:eastAsia="bg-BG"/>
              </w:rPr>
            </w:pPr>
            <w:r w:rsidRPr="005348E4">
              <w:rPr>
                <w:rFonts w:ascii="Times New Roman" w:eastAsia="Times New Roman" w:hAnsi="Times New Roman" w:cs="Times New Roman"/>
                <w:color w:val="000000"/>
                <w:sz w:val="18"/>
                <w:szCs w:val="18"/>
                <w:lang w:eastAsia="bg-BG"/>
              </w:rPr>
              <w:t>0,0</w:t>
            </w:r>
          </w:p>
        </w:tc>
      </w:tr>
    </w:tbl>
    <w:p w:rsidR="005348E4" w:rsidRPr="005348E4" w:rsidRDefault="005348E4" w:rsidP="00A10F5E">
      <w:pPr>
        <w:spacing w:after="0" w:line="240" w:lineRule="auto"/>
        <w:jc w:val="both"/>
        <w:rPr>
          <w:rFonts w:ascii="Times New Roman" w:hAnsi="Times New Roman" w:cs="Times New Roman"/>
          <w:b/>
          <w:i/>
          <w:color w:val="0000CC"/>
        </w:rPr>
      </w:pPr>
    </w:p>
    <w:p w:rsidR="006B2804" w:rsidRDefault="006B2804" w:rsidP="00CD19BF">
      <w:pPr>
        <w:pStyle w:val="ListParagraph"/>
        <w:numPr>
          <w:ilvl w:val="0"/>
          <w:numId w:val="1"/>
        </w:numPr>
        <w:spacing w:after="0" w:line="240" w:lineRule="auto"/>
        <w:ind w:firstLine="65"/>
        <w:jc w:val="both"/>
        <w:rPr>
          <w:rFonts w:ascii="Times New Roman" w:hAnsi="Times New Roman" w:cs="Times New Roman"/>
          <w:b/>
          <w:i/>
          <w:color w:val="0000CC"/>
        </w:rPr>
      </w:pPr>
      <w:r w:rsidRPr="00F14F23">
        <w:rPr>
          <w:rFonts w:ascii="Times New Roman" w:hAnsi="Times New Roman" w:cs="Times New Roman"/>
          <w:b/>
          <w:i/>
          <w:color w:val="0000CC"/>
        </w:rPr>
        <w:t>Ключови индикатори и целеви стойности (попълва се за всяка област на политика)</w:t>
      </w:r>
    </w:p>
    <w:p w:rsidR="00A0690D" w:rsidRDefault="00A0690D" w:rsidP="00A10F5E">
      <w:pPr>
        <w:spacing w:after="0" w:line="240" w:lineRule="auto"/>
        <w:ind w:left="142"/>
        <w:rPr>
          <w:rFonts w:ascii="Times New Roman" w:hAnsi="Times New Roman" w:cs="Times New Roman"/>
          <w:b/>
          <w:bCs/>
          <w:sz w:val="16"/>
          <w:szCs w:val="16"/>
        </w:rPr>
      </w:pPr>
    </w:p>
    <w:p w:rsidR="00DD41B0" w:rsidRPr="00DD41B0" w:rsidRDefault="00DD41B0" w:rsidP="00CD19BF">
      <w:pPr>
        <w:spacing w:after="0" w:line="240" w:lineRule="auto"/>
        <w:rPr>
          <w:rFonts w:ascii="Times New Roman" w:hAnsi="Times New Roman" w:cs="Times New Roman"/>
          <w:b/>
          <w:bCs/>
          <w:sz w:val="16"/>
          <w:szCs w:val="16"/>
        </w:rPr>
      </w:pPr>
      <w:r w:rsidRPr="00DD41B0">
        <w:rPr>
          <w:rFonts w:ascii="Times New Roman" w:hAnsi="Times New Roman" w:cs="Times New Roman"/>
          <w:b/>
          <w:bCs/>
          <w:sz w:val="16"/>
          <w:szCs w:val="16"/>
        </w:rPr>
        <w:t>КЛЮЧОВИ ИНДИКАТОРИ ЗА ИЗПЪЛНЕНИЕ И ЦЕЛЕВИ СТОЙНОСТИ</w:t>
      </w:r>
    </w:p>
    <w:tbl>
      <w:tblPr>
        <w:tblStyle w:val="TableGrid"/>
        <w:tblW w:w="100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276"/>
        <w:gridCol w:w="1276"/>
        <w:gridCol w:w="1040"/>
        <w:gridCol w:w="1041"/>
        <w:gridCol w:w="238"/>
      </w:tblGrid>
      <w:tr w:rsidR="00194D6F" w:rsidRPr="00A0690D" w:rsidTr="00C04715">
        <w:trPr>
          <w:gridAfter w:val="1"/>
          <w:wAfter w:w="238" w:type="dxa"/>
          <w:trHeight w:val="800"/>
        </w:trPr>
        <w:tc>
          <w:tcPr>
            <w:tcW w:w="5211" w:type="dxa"/>
          </w:tcPr>
          <w:p w:rsidR="00194D6F" w:rsidRPr="00A0690D" w:rsidRDefault="00194D6F" w:rsidP="00A10F5E">
            <w:pPr>
              <w:jc w:val="center"/>
              <w:rPr>
                <w:i/>
                <w:iCs/>
              </w:rPr>
            </w:pPr>
            <w:r w:rsidRPr="00A0690D">
              <w:rPr>
                <w:i/>
                <w:iCs/>
              </w:rPr>
              <w:t>Област на политика:</w:t>
            </w:r>
          </w:p>
          <w:p w:rsidR="00194D6F" w:rsidRPr="00A0690D" w:rsidRDefault="00194D6F" w:rsidP="00A10F5E">
            <w:pPr>
              <w:rPr>
                <w:b/>
                <w:bCs/>
              </w:rPr>
            </w:pPr>
            <w:r w:rsidRPr="00A0690D">
              <w:t>Политика в областта на 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текущия контрол и на строителните продукти</w:t>
            </w:r>
          </w:p>
        </w:tc>
        <w:tc>
          <w:tcPr>
            <w:tcW w:w="1276" w:type="dxa"/>
            <w:vMerge w:val="restart"/>
            <w:shd w:val="clear" w:color="auto" w:fill="F2F2F2" w:themeFill="background1" w:themeFillShade="F2"/>
          </w:tcPr>
          <w:p w:rsidR="00194D6F" w:rsidRPr="00A0690D" w:rsidRDefault="00194D6F" w:rsidP="00A10F5E">
            <w:pPr>
              <w:jc w:val="center"/>
              <w:rPr>
                <w:b/>
                <w:bCs/>
              </w:rPr>
            </w:pPr>
            <w:r w:rsidRPr="00A0690D">
              <w:rPr>
                <w:b/>
                <w:bCs/>
              </w:rPr>
              <w:t>Мерна единица</w:t>
            </w:r>
          </w:p>
        </w:tc>
        <w:tc>
          <w:tcPr>
            <w:tcW w:w="3357" w:type="dxa"/>
            <w:gridSpan w:val="3"/>
            <w:tcBorders>
              <w:top w:val="single" w:sz="4" w:space="0" w:color="auto"/>
              <w:bottom w:val="single" w:sz="4" w:space="0" w:color="auto"/>
            </w:tcBorders>
          </w:tcPr>
          <w:p w:rsidR="00194D6F" w:rsidRPr="00A0690D" w:rsidRDefault="00194D6F" w:rsidP="00A10F5E">
            <w:pPr>
              <w:jc w:val="center"/>
              <w:rPr>
                <w:b/>
                <w:bCs/>
              </w:rPr>
            </w:pPr>
            <w:r w:rsidRPr="00A0690D">
              <w:rPr>
                <w:b/>
                <w:bCs/>
              </w:rPr>
              <w:t>Целева стойност</w:t>
            </w:r>
          </w:p>
        </w:tc>
      </w:tr>
      <w:tr w:rsidR="00194D6F" w:rsidRPr="00A0690D" w:rsidTr="00C30586">
        <w:trPr>
          <w:gridAfter w:val="1"/>
          <w:wAfter w:w="238" w:type="dxa"/>
          <w:trHeight w:val="314"/>
        </w:trPr>
        <w:tc>
          <w:tcPr>
            <w:tcW w:w="5211" w:type="dxa"/>
            <w:tcBorders>
              <w:bottom w:val="single" w:sz="4" w:space="0" w:color="auto"/>
            </w:tcBorders>
          </w:tcPr>
          <w:p w:rsidR="00194D6F" w:rsidRPr="00A0690D" w:rsidRDefault="00194D6F" w:rsidP="00A10F5E">
            <w:pPr>
              <w:jc w:val="center"/>
              <w:rPr>
                <w:b/>
                <w:bCs/>
              </w:rPr>
            </w:pPr>
            <w:r w:rsidRPr="00A0690D">
              <w:rPr>
                <w:b/>
                <w:bCs/>
              </w:rPr>
              <w:t>Наименование на индикатора</w:t>
            </w:r>
          </w:p>
        </w:tc>
        <w:tc>
          <w:tcPr>
            <w:tcW w:w="1276" w:type="dxa"/>
            <w:vMerge/>
            <w:tcBorders>
              <w:bottom w:val="single" w:sz="4" w:space="0" w:color="auto"/>
            </w:tcBorders>
            <w:shd w:val="clear" w:color="auto" w:fill="F2F2F2" w:themeFill="background1" w:themeFillShade="F2"/>
          </w:tcPr>
          <w:p w:rsidR="00194D6F" w:rsidRPr="00A0690D" w:rsidRDefault="00194D6F" w:rsidP="00A10F5E">
            <w:pPr>
              <w:jc w:val="center"/>
              <w:rPr>
                <w:b/>
                <w:bCs/>
              </w:rPr>
            </w:pPr>
          </w:p>
        </w:tc>
        <w:tc>
          <w:tcPr>
            <w:tcW w:w="1276" w:type="dxa"/>
            <w:tcBorders>
              <w:top w:val="single" w:sz="4" w:space="0" w:color="auto"/>
              <w:bottom w:val="single" w:sz="4" w:space="0" w:color="auto"/>
            </w:tcBorders>
          </w:tcPr>
          <w:p w:rsidR="00194D6F" w:rsidRPr="00A0690D" w:rsidRDefault="00194D6F" w:rsidP="00A10F5E">
            <w:pPr>
              <w:jc w:val="center"/>
              <w:rPr>
                <w:b/>
                <w:bCs/>
                <w:i/>
                <w:iCs/>
              </w:rPr>
            </w:pPr>
            <w:r w:rsidRPr="00A0690D">
              <w:rPr>
                <w:b/>
                <w:bCs/>
                <w:i/>
                <w:iCs/>
              </w:rPr>
              <w:t>Про</w:t>
            </w:r>
            <w:r w:rsidR="002E5CE5">
              <w:rPr>
                <w:b/>
                <w:bCs/>
                <w:i/>
                <w:iCs/>
              </w:rPr>
              <w:t>ект</w:t>
            </w:r>
          </w:p>
          <w:p w:rsidR="00194D6F" w:rsidRPr="00A0690D" w:rsidRDefault="00194D6F" w:rsidP="00A10F5E">
            <w:pPr>
              <w:jc w:val="center"/>
              <w:rPr>
                <w:b/>
                <w:bCs/>
              </w:rPr>
            </w:pPr>
            <w:r w:rsidRPr="00A0690D">
              <w:rPr>
                <w:b/>
                <w:bCs/>
                <w:i/>
                <w:iCs/>
              </w:rPr>
              <w:t>20</w:t>
            </w:r>
            <w:r w:rsidRPr="00A0690D">
              <w:rPr>
                <w:b/>
                <w:bCs/>
                <w:i/>
                <w:iCs/>
                <w:lang w:val="en-US"/>
              </w:rPr>
              <w:t>2</w:t>
            </w:r>
            <w:r w:rsidR="00A224C6">
              <w:rPr>
                <w:b/>
                <w:bCs/>
                <w:i/>
                <w:iCs/>
              </w:rPr>
              <w:t>2</w:t>
            </w:r>
            <w:r w:rsidRPr="00A0690D">
              <w:rPr>
                <w:b/>
                <w:bCs/>
                <w:i/>
                <w:iCs/>
              </w:rPr>
              <w:t xml:space="preserve"> г.</w:t>
            </w:r>
          </w:p>
        </w:tc>
        <w:tc>
          <w:tcPr>
            <w:tcW w:w="1040" w:type="dxa"/>
            <w:tcBorders>
              <w:top w:val="single" w:sz="4" w:space="0" w:color="auto"/>
              <w:bottom w:val="single" w:sz="4" w:space="0" w:color="auto"/>
            </w:tcBorders>
          </w:tcPr>
          <w:p w:rsidR="00194D6F" w:rsidRPr="00A0690D" w:rsidRDefault="00194D6F" w:rsidP="00A10F5E">
            <w:pPr>
              <w:jc w:val="center"/>
              <w:rPr>
                <w:b/>
                <w:bCs/>
                <w:i/>
                <w:iCs/>
              </w:rPr>
            </w:pPr>
            <w:r w:rsidRPr="00A0690D">
              <w:rPr>
                <w:b/>
                <w:bCs/>
                <w:i/>
                <w:iCs/>
              </w:rPr>
              <w:t>Прогноза</w:t>
            </w:r>
          </w:p>
          <w:p w:rsidR="00194D6F" w:rsidRPr="00A0690D" w:rsidRDefault="00194D6F" w:rsidP="00A10F5E">
            <w:pPr>
              <w:jc w:val="center"/>
              <w:rPr>
                <w:b/>
                <w:bCs/>
              </w:rPr>
            </w:pPr>
            <w:r w:rsidRPr="00A0690D">
              <w:rPr>
                <w:b/>
                <w:bCs/>
                <w:i/>
                <w:iCs/>
              </w:rPr>
              <w:t>20</w:t>
            </w:r>
            <w:r w:rsidRPr="00A0690D">
              <w:rPr>
                <w:b/>
                <w:bCs/>
                <w:i/>
                <w:iCs/>
                <w:lang w:val="en-US"/>
              </w:rPr>
              <w:t>2</w:t>
            </w:r>
            <w:r w:rsidR="006F4BDD" w:rsidRPr="00A0690D">
              <w:rPr>
                <w:b/>
                <w:bCs/>
                <w:i/>
                <w:iCs/>
              </w:rPr>
              <w:t>3</w:t>
            </w:r>
            <w:r w:rsidRPr="00A0690D">
              <w:rPr>
                <w:b/>
                <w:bCs/>
                <w:i/>
                <w:iCs/>
              </w:rPr>
              <w:t xml:space="preserve"> г.</w:t>
            </w:r>
          </w:p>
        </w:tc>
        <w:tc>
          <w:tcPr>
            <w:tcW w:w="1041" w:type="dxa"/>
            <w:tcBorders>
              <w:top w:val="single" w:sz="4" w:space="0" w:color="auto"/>
              <w:bottom w:val="single" w:sz="4" w:space="0" w:color="auto"/>
            </w:tcBorders>
          </w:tcPr>
          <w:p w:rsidR="00194D6F" w:rsidRPr="00A0690D" w:rsidRDefault="00194D6F" w:rsidP="00A10F5E">
            <w:pPr>
              <w:jc w:val="center"/>
              <w:rPr>
                <w:b/>
                <w:bCs/>
                <w:i/>
                <w:iCs/>
              </w:rPr>
            </w:pPr>
            <w:r w:rsidRPr="00A0690D">
              <w:rPr>
                <w:b/>
                <w:bCs/>
                <w:i/>
                <w:iCs/>
              </w:rPr>
              <w:t>Прогноза</w:t>
            </w:r>
          </w:p>
          <w:p w:rsidR="00194D6F" w:rsidRPr="00A0690D" w:rsidRDefault="00194D6F" w:rsidP="00A10F5E">
            <w:pPr>
              <w:jc w:val="center"/>
              <w:rPr>
                <w:b/>
                <w:bCs/>
              </w:rPr>
            </w:pPr>
            <w:r w:rsidRPr="00A0690D">
              <w:rPr>
                <w:b/>
                <w:bCs/>
                <w:i/>
                <w:iCs/>
              </w:rPr>
              <w:t>20</w:t>
            </w:r>
            <w:r w:rsidRPr="00A0690D">
              <w:rPr>
                <w:b/>
                <w:bCs/>
                <w:i/>
                <w:iCs/>
                <w:lang w:val="en-US"/>
              </w:rPr>
              <w:t>2</w:t>
            </w:r>
            <w:r w:rsidR="006F4BDD" w:rsidRPr="00A0690D">
              <w:rPr>
                <w:b/>
                <w:bCs/>
                <w:i/>
                <w:iCs/>
              </w:rPr>
              <w:t>4</w:t>
            </w:r>
            <w:r w:rsidRPr="00A0690D">
              <w:rPr>
                <w:b/>
                <w:bCs/>
                <w:i/>
                <w:iCs/>
              </w:rPr>
              <w:t xml:space="preserve"> г.</w:t>
            </w:r>
          </w:p>
        </w:tc>
      </w:tr>
      <w:tr w:rsidR="007032C9" w:rsidRPr="00A0690D" w:rsidTr="009057AC">
        <w:trPr>
          <w:gridAfter w:val="1"/>
          <w:wAfter w:w="238" w:type="dxa"/>
          <w:trHeight w:val="196"/>
        </w:trPr>
        <w:tc>
          <w:tcPr>
            <w:tcW w:w="5211" w:type="dxa"/>
            <w:tcBorders>
              <w:top w:val="single" w:sz="4" w:space="0" w:color="auto"/>
              <w:bottom w:val="nil"/>
            </w:tcBorders>
            <w:vAlign w:val="center"/>
          </w:tcPr>
          <w:p w:rsidR="007032C9" w:rsidRPr="00A0690D" w:rsidRDefault="007032C9" w:rsidP="00A10F5E">
            <w:r w:rsidRPr="00A0690D">
              <w:t>1. Предоставени услуги от геодезически топографски и кадастрални данни</w:t>
            </w:r>
          </w:p>
        </w:tc>
        <w:tc>
          <w:tcPr>
            <w:tcW w:w="1276" w:type="dxa"/>
            <w:tcBorders>
              <w:top w:val="single" w:sz="4" w:space="0" w:color="auto"/>
              <w:bottom w:val="nil"/>
            </w:tcBorders>
            <w:shd w:val="clear" w:color="auto" w:fill="F2F2F2" w:themeFill="background1" w:themeFillShade="F2"/>
            <w:vAlign w:val="center"/>
          </w:tcPr>
          <w:p w:rsidR="007032C9" w:rsidRPr="00A0690D" w:rsidRDefault="007032C9" w:rsidP="00A10F5E">
            <w:pPr>
              <w:jc w:val="center"/>
            </w:pPr>
            <w:r w:rsidRPr="00A0690D">
              <w:t>млн.</w:t>
            </w:r>
            <w:r w:rsidRPr="00A0690D">
              <w:rPr>
                <w:lang w:val="en-US"/>
              </w:rPr>
              <w:t xml:space="preserve"> </w:t>
            </w:r>
            <w:r w:rsidRPr="00A0690D">
              <w:t>бр.</w:t>
            </w:r>
          </w:p>
        </w:tc>
        <w:tc>
          <w:tcPr>
            <w:tcW w:w="1276" w:type="dxa"/>
            <w:tcBorders>
              <w:top w:val="single" w:sz="4" w:space="0" w:color="auto"/>
              <w:bottom w:val="nil"/>
            </w:tcBorders>
            <w:vAlign w:val="center"/>
          </w:tcPr>
          <w:p w:rsidR="007032C9" w:rsidRPr="00A0690D" w:rsidRDefault="007032C9" w:rsidP="00A10F5E">
            <w:pPr>
              <w:jc w:val="center"/>
            </w:pPr>
            <w:r w:rsidRPr="00A0690D">
              <w:t>2,95</w:t>
            </w:r>
          </w:p>
        </w:tc>
        <w:tc>
          <w:tcPr>
            <w:tcW w:w="1040" w:type="dxa"/>
            <w:tcBorders>
              <w:top w:val="single" w:sz="4" w:space="0" w:color="auto"/>
              <w:bottom w:val="nil"/>
            </w:tcBorders>
            <w:vAlign w:val="center"/>
          </w:tcPr>
          <w:p w:rsidR="007032C9" w:rsidRPr="00A0690D" w:rsidRDefault="007032C9" w:rsidP="00A10F5E">
            <w:pPr>
              <w:jc w:val="center"/>
            </w:pPr>
            <w:r w:rsidRPr="00A0690D">
              <w:t>2,95</w:t>
            </w:r>
          </w:p>
        </w:tc>
        <w:tc>
          <w:tcPr>
            <w:tcW w:w="1041" w:type="dxa"/>
            <w:tcBorders>
              <w:top w:val="single" w:sz="4" w:space="0" w:color="auto"/>
              <w:bottom w:val="nil"/>
            </w:tcBorders>
            <w:vAlign w:val="center"/>
          </w:tcPr>
          <w:p w:rsidR="007032C9" w:rsidRPr="00A0690D" w:rsidRDefault="007032C9" w:rsidP="00A10F5E">
            <w:pPr>
              <w:jc w:val="center"/>
            </w:pPr>
            <w:r w:rsidRPr="00A0690D">
              <w:t>3,00</w:t>
            </w:r>
          </w:p>
        </w:tc>
      </w:tr>
      <w:tr w:rsidR="007032C9" w:rsidRPr="00A0690D" w:rsidTr="006300BD">
        <w:trPr>
          <w:gridAfter w:val="1"/>
          <w:wAfter w:w="238" w:type="dxa"/>
          <w:trHeight w:val="404"/>
        </w:trPr>
        <w:tc>
          <w:tcPr>
            <w:tcW w:w="5211" w:type="dxa"/>
            <w:tcBorders>
              <w:top w:val="single" w:sz="4" w:space="0" w:color="auto"/>
              <w:bottom w:val="nil"/>
            </w:tcBorders>
            <w:vAlign w:val="center"/>
          </w:tcPr>
          <w:p w:rsidR="007032C9" w:rsidRPr="00A0690D" w:rsidRDefault="007032C9" w:rsidP="00A10F5E">
            <w:r w:rsidRPr="00A0690D">
              <w:t>2 . Преизмерване на ДНМ (нивелация I – около 5500 км)</w:t>
            </w:r>
          </w:p>
        </w:tc>
        <w:tc>
          <w:tcPr>
            <w:tcW w:w="1276" w:type="dxa"/>
            <w:tcBorders>
              <w:top w:val="single" w:sz="4" w:space="0" w:color="auto"/>
              <w:bottom w:val="nil"/>
            </w:tcBorders>
            <w:shd w:val="clear" w:color="auto" w:fill="F2F2F2" w:themeFill="background1" w:themeFillShade="F2"/>
            <w:vAlign w:val="center"/>
          </w:tcPr>
          <w:p w:rsidR="007032C9" w:rsidRPr="00A0690D" w:rsidRDefault="007032C9" w:rsidP="00A10F5E">
            <w:pPr>
              <w:jc w:val="center"/>
              <w:rPr>
                <w:lang w:val="en-US"/>
              </w:rPr>
            </w:pPr>
            <w:r w:rsidRPr="00A0690D">
              <w:rPr>
                <w:lang w:val="en-US"/>
              </w:rPr>
              <w:t>km</w:t>
            </w:r>
          </w:p>
        </w:tc>
        <w:tc>
          <w:tcPr>
            <w:tcW w:w="1276" w:type="dxa"/>
            <w:tcBorders>
              <w:top w:val="single" w:sz="4" w:space="0" w:color="auto"/>
              <w:bottom w:val="nil"/>
            </w:tcBorders>
            <w:vAlign w:val="center"/>
          </w:tcPr>
          <w:p w:rsidR="007032C9" w:rsidRPr="00A0690D" w:rsidRDefault="007032C9" w:rsidP="00A10F5E">
            <w:pPr>
              <w:jc w:val="center"/>
              <w:rPr>
                <w:lang w:val="en-US"/>
              </w:rPr>
            </w:pPr>
            <w:r w:rsidRPr="00A0690D">
              <w:rPr>
                <w:lang w:val="en-US"/>
              </w:rPr>
              <w:t>451</w:t>
            </w:r>
          </w:p>
        </w:tc>
        <w:tc>
          <w:tcPr>
            <w:tcW w:w="1040" w:type="dxa"/>
            <w:tcBorders>
              <w:top w:val="single" w:sz="4" w:space="0" w:color="auto"/>
              <w:bottom w:val="nil"/>
            </w:tcBorders>
            <w:vAlign w:val="center"/>
          </w:tcPr>
          <w:p w:rsidR="007032C9" w:rsidRPr="00A0690D" w:rsidRDefault="007032C9" w:rsidP="00A10F5E">
            <w:pPr>
              <w:jc w:val="center"/>
              <w:rPr>
                <w:lang w:val="en-US"/>
              </w:rPr>
            </w:pPr>
            <w:r w:rsidRPr="00A0690D">
              <w:rPr>
                <w:lang w:val="en-US"/>
              </w:rPr>
              <w:t>432</w:t>
            </w:r>
          </w:p>
        </w:tc>
        <w:tc>
          <w:tcPr>
            <w:tcW w:w="1041" w:type="dxa"/>
            <w:tcBorders>
              <w:top w:val="single" w:sz="4" w:space="0" w:color="auto"/>
              <w:bottom w:val="nil"/>
            </w:tcBorders>
            <w:vAlign w:val="center"/>
          </w:tcPr>
          <w:p w:rsidR="007032C9" w:rsidRPr="00A0690D" w:rsidRDefault="007032C9" w:rsidP="00A10F5E">
            <w:pPr>
              <w:jc w:val="center"/>
            </w:pPr>
            <w:r w:rsidRPr="00A0690D">
              <w:t>405</w:t>
            </w:r>
          </w:p>
        </w:tc>
      </w:tr>
      <w:tr w:rsidR="007032C9" w:rsidRPr="00A0690D" w:rsidTr="00C04715">
        <w:trPr>
          <w:gridAfter w:val="1"/>
          <w:wAfter w:w="238" w:type="dxa"/>
          <w:trHeight w:val="532"/>
        </w:trPr>
        <w:tc>
          <w:tcPr>
            <w:tcW w:w="5211" w:type="dxa"/>
            <w:tcBorders>
              <w:top w:val="single" w:sz="4" w:space="0" w:color="auto"/>
              <w:bottom w:val="nil"/>
            </w:tcBorders>
            <w:vAlign w:val="center"/>
          </w:tcPr>
          <w:p w:rsidR="007032C9" w:rsidRPr="00A0690D" w:rsidRDefault="007032C9" w:rsidP="00A10F5E">
            <w:r w:rsidRPr="00A0690D">
              <w:t>3. Създаване на единен цифров модел за едромащабна топографска карта на Р</w:t>
            </w:r>
            <w:r w:rsidR="00C04715" w:rsidRPr="00A0690D">
              <w:t>епублика</w:t>
            </w:r>
            <w:r w:rsidRPr="00A0690D">
              <w:t xml:space="preserve"> България</w:t>
            </w:r>
          </w:p>
        </w:tc>
        <w:tc>
          <w:tcPr>
            <w:tcW w:w="1276" w:type="dxa"/>
            <w:tcBorders>
              <w:top w:val="single" w:sz="4" w:space="0" w:color="auto"/>
              <w:bottom w:val="nil"/>
            </w:tcBorders>
            <w:shd w:val="clear" w:color="auto" w:fill="F2F2F2" w:themeFill="background1" w:themeFillShade="F2"/>
            <w:vAlign w:val="center"/>
          </w:tcPr>
          <w:p w:rsidR="007032C9" w:rsidRPr="00A0690D" w:rsidRDefault="007032C9" w:rsidP="00A10F5E">
            <w:pPr>
              <w:jc w:val="center"/>
              <w:rPr>
                <w:lang w:val="en-US"/>
              </w:rPr>
            </w:pPr>
            <w:r w:rsidRPr="00A0690D">
              <w:rPr>
                <w:lang w:val="en-US"/>
              </w:rPr>
              <w:t>km</w:t>
            </w:r>
            <w:r w:rsidRPr="00A0690D">
              <w:rPr>
                <w:vertAlign w:val="superscript"/>
                <w:lang w:val="en-US"/>
              </w:rPr>
              <w:t>2</w:t>
            </w:r>
          </w:p>
        </w:tc>
        <w:tc>
          <w:tcPr>
            <w:tcW w:w="1276" w:type="dxa"/>
            <w:tcBorders>
              <w:top w:val="single" w:sz="4" w:space="0" w:color="auto"/>
              <w:bottom w:val="nil"/>
            </w:tcBorders>
            <w:vAlign w:val="center"/>
          </w:tcPr>
          <w:p w:rsidR="007032C9" w:rsidRPr="00A0690D" w:rsidRDefault="00396D66" w:rsidP="00A10F5E">
            <w:pPr>
              <w:jc w:val="center"/>
            </w:pPr>
            <w:r>
              <w:t>-</w:t>
            </w:r>
          </w:p>
        </w:tc>
        <w:tc>
          <w:tcPr>
            <w:tcW w:w="1040" w:type="dxa"/>
            <w:tcBorders>
              <w:top w:val="single" w:sz="4" w:space="0" w:color="auto"/>
              <w:bottom w:val="nil"/>
            </w:tcBorders>
            <w:vAlign w:val="center"/>
          </w:tcPr>
          <w:p w:rsidR="007032C9" w:rsidRPr="00A0690D" w:rsidRDefault="00396D66" w:rsidP="00A10F5E">
            <w:pPr>
              <w:jc w:val="center"/>
            </w:pPr>
            <w:r>
              <w:t>430</w:t>
            </w:r>
          </w:p>
        </w:tc>
        <w:tc>
          <w:tcPr>
            <w:tcW w:w="1041" w:type="dxa"/>
            <w:tcBorders>
              <w:top w:val="single" w:sz="4" w:space="0" w:color="auto"/>
              <w:bottom w:val="nil"/>
            </w:tcBorders>
            <w:vAlign w:val="center"/>
          </w:tcPr>
          <w:p w:rsidR="007032C9" w:rsidRPr="00A0690D" w:rsidRDefault="007032C9" w:rsidP="00A10F5E">
            <w:pPr>
              <w:jc w:val="center"/>
            </w:pPr>
            <w:r w:rsidRPr="00A0690D">
              <w:t>500</w:t>
            </w:r>
          </w:p>
        </w:tc>
      </w:tr>
      <w:tr w:rsidR="007A5F51" w:rsidRPr="00A0690D" w:rsidTr="00A10F5E">
        <w:trPr>
          <w:gridAfter w:val="1"/>
          <w:wAfter w:w="238" w:type="dxa"/>
          <w:trHeight w:val="929"/>
        </w:trPr>
        <w:tc>
          <w:tcPr>
            <w:tcW w:w="5211" w:type="dxa"/>
            <w:tcBorders>
              <w:top w:val="single" w:sz="4" w:space="0" w:color="auto"/>
              <w:bottom w:val="nil"/>
            </w:tcBorders>
          </w:tcPr>
          <w:p w:rsidR="007A5F51" w:rsidRPr="00A0690D" w:rsidRDefault="00F26E22" w:rsidP="00A10F5E">
            <w:pPr>
              <w:jc w:val="both"/>
              <w:rPr>
                <w:b/>
                <w:bCs/>
              </w:rPr>
            </w:pPr>
            <w:r w:rsidRPr="00A0690D">
              <w:rPr>
                <w:rFonts w:eastAsia="Calibri"/>
                <w:bCs/>
                <w:lang w:val="en-US"/>
              </w:rPr>
              <w:t>4</w:t>
            </w:r>
            <w:r w:rsidR="007A5F51" w:rsidRPr="00A0690D">
              <w:rPr>
                <w:rFonts w:eastAsia="Calibri"/>
                <w:bCs/>
                <w:lang w:val="en-US"/>
              </w:rPr>
              <w:t>.</w:t>
            </w:r>
            <w:r w:rsidR="00C04715" w:rsidRPr="00A0690D">
              <w:rPr>
                <w:rFonts w:eastAsia="Calibri"/>
                <w:bCs/>
              </w:rPr>
              <w:t xml:space="preserve"> </w:t>
            </w:r>
            <w:r w:rsidR="007A5F51" w:rsidRPr="00A0690D">
              <w:rPr>
                <w:rFonts w:eastAsia="Calibri"/>
                <w:bCs/>
              </w:rPr>
              <w:t xml:space="preserve">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w:t>
            </w:r>
            <w:r w:rsidR="007A5F51" w:rsidRPr="00A0690D">
              <w:rPr>
                <w:rFonts w:eastAsia="Calibri"/>
                <w:bCs/>
                <w:lang w:val="en-US"/>
              </w:rPr>
              <w:t xml:space="preserve">I, II </w:t>
            </w:r>
            <w:r w:rsidR="007A5F51" w:rsidRPr="00A0690D">
              <w:rPr>
                <w:rFonts w:eastAsia="Calibri"/>
                <w:bCs/>
              </w:rPr>
              <w:t xml:space="preserve">и </w:t>
            </w:r>
            <w:r w:rsidR="007A5F51" w:rsidRPr="00A0690D">
              <w:rPr>
                <w:rFonts w:eastAsia="Calibri"/>
                <w:bCs/>
                <w:lang w:val="en-US"/>
              </w:rPr>
              <w:t xml:space="preserve">III </w:t>
            </w:r>
            <w:r w:rsidR="00C04715" w:rsidRPr="00A0690D">
              <w:rPr>
                <w:rFonts w:eastAsia="Calibri"/>
                <w:bCs/>
              </w:rPr>
              <w:t xml:space="preserve">категория </w:t>
            </w:r>
            <w:r w:rsidR="007A5F51" w:rsidRPr="00A0690D">
              <w:rPr>
                <w:rFonts w:eastAsia="Calibri"/>
                <w:bCs/>
                <w:lang w:val="en-US"/>
              </w:rPr>
              <w:t>*</w:t>
            </w:r>
          </w:p>
        </w:tc>
        <w:tc>
          <w:tcPr>
            <w:tcW w:w="1276" w:type="dxa"/>
            <w:tcBorders>
              <w:top w:val="single" w:sz="4" w:space="0" w:color="auto"/>
              <w:bottom w:val="nil"/>
            </w:tcBorders>
            <w:shd w:val="clear" w:color="auto" w:fill="F2F2F2" w:themeFill="background1" w:themeFillShade="F2"/>
          </w:tcPr>
          <w:p w:rsidR="007A5F51" w:rsidRPr="00A0690D" w:rsidRDefault="007A5F51" w:rsidP="00A10F5E">
            <w:pPr>
              <w:jc w:val="center"/>
              <w:rPr>
                <w:bCs/>
              </w:rPr>
            </w:pPr>
            <w:r w:rsidRPr="00A0690D">
              <w:rPr>
                <w:bCs/>
              </w:rPr>
              <w:t>%</w:t>
            </w:r>
          </w:p>
        </w:tc>
        <w:tc>
          <w:tcPr>
            <w:tcW w:w="1276" w:type="dxa"/>
            <w:tcBorders>
              <w:top w:val="single" w:sz="4" w:space="0" w:color="auto"/>
              <w:bottom w:val="nil"/>
            </w:tcBorders>
          </w:tcPr>
          <w:p w:rsidR="007A5F51" w:rsidRPr="00A0690D" w:rsidRDefault="007A5F51" w:rsidP="00A10F5E">
            <w:pPr>
              <w:jc w:val="center"/>
              <w:rPr>
                <w:bCs/>
              </w:rPr>
            </w:pPr>
            <w:r w:rsidRPr="00A0690D">
              <w:rPr>
                <w:bCs/>
              </w:rPr>
              <w:t>100</w:t>
            </w:r>
          </w:p>
        </w:tc>
        <w:tc>
          <w:tcPr>
            <w:tcW w:w="1040" w:type="dxa"/>
            <w:tcBorders>
              <w:top w:val="single" w:sz="4" w:space="0" w:color="auto"/>
              <w:bottom w:val="nil"/>
            </w:tcBorders>
          </w:tcPr>
          <w:p w:rsidR="007A5F51" w:rsidRPr="00A0690D" w:rsidRDefault="007A5F51" w:rsidP="00A10F5E">
            <w:pPr>
              <w:jc w:val="center"/>
              <w:rPr>
                <w:bCs/>
              </w:rPr>
            </w:pPr>
            <w:r w:rsidRPr="00A0690D">
              <w:rPr>
                <w:bCs/>
              </w:rPr>
              <w:t>100</w:t>
            </w:r>
          </w:p>
        </w:tc>
        <w:tc>
          <w:tcPr>
            <w:tcW w:w="1041" w:type="dxa"/>
            <w:tcBorders>
              <w:top w:val="single" w:sz="4" w:space="0" w:color="auto"/>
              <w:bottom w:val="nil"/>
            </w:tcBorders>
          </w:tcPr>
          <w:p w:rsidR="007A5F51" w:rsidRPr="00A0690D" w:rsidRDefault="007A5F51" w:rsidP="00A10F5E">
            <w:pPr>
              <w:jc w:val="center"/>
              <w:rPr>
                <w:bCs/>
              </w:rPr>
            </w:pPr>
            <w:r w:rsidRPr="00A0690D">
              <w:rPr>
                <w:bCs/>
              </w:rPr>
              <w:t>100</w:t>
            </w:r>
          </w:p>
        </w:tc>
      </w:tr>
      <w:tr w:rsidR="007A5F51" w:rsidRPr="00A0690D" w:rsidTr="00F26E22">
        <w:trPr>
          <w:gridAfter w:val="1"/>
          <w:wAfter w:w="238" w:type="dxa"/>
          <w:trHeight w:val="280"/>
        </w:trPr>
        <w:tc>
          <w:tcPr>
            <w:tcW w:w="5211" w:type="dxa"/>
            <w:tcBorders>
              <w:top w:val="single" w:sz="4" w:space="0" w:color="auto"/>
              <w:bottom w:val="nil"/>
            </w:tcBorders>
          </w:tcPr>
          <w:p w:rsidR="007A5F51" w:rsidRPr="00A0690D" w:rsidRDefault="00F26E22" w:rsidP="00A10F5E">
            <w:pPr>
              <w:rPr>
                <w:b/>
                <w:bCs/>
              </w:rPr>
            </w:pPr>
            <w:r w:rsidRPr="00A0690D">
              <w:t>5</w:t>
            </w:r>
            <w:r w:rsidRPr="00A0690D">
              <w:rPr>
                <w:b/>
              </w:rPr>
              <w:t>.</w:t>
            </w:r>
            <w:r w:rsidR="007A5F51" w:rsidRPr="00A0690D">
              <w:rPr>
                <w:b/>
              </w:rPr>
              <w:t xml:space="preserve"> </w:t>
            </w:r>
            <w:r w:rsidR="007A5F51" w:rsidRPr="00A0690D">
              <w:rPr>
                <w:rFonts w:eastAsia="Calibri"/>
                <w:bCs/>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w:t>
            </w:r>
            <w:r w:rsidR="009A1D78" w:rsidRPr="00A0690D">
              <w:rPr>
                <w:rFonts w:eastAsia="Calibri"/>
                <w:bCs/>
              </w:rPr>
              <w:t>ята на общинската администрация</w:t>
            </w:r>
            <w:r w:rsidR="00C04715" w:rsidRPr="00A0690D">
              <w:rPr>
                <w:rFonts w:eastAsia="Calibri"/>
                <w:bCs/>
              </w:rPr>
              <w:t xml:space="preserve"> </w:t>
            </w:r>
            <w:r w:rsidR="007A5F51" w:rsidRPr="00A0690D">
              <w:rPr>
                <w:rFonts w:eastAsia="Calibri"/>
                <w:bCs/>
                <w:lang w:val="en-US"/>
              </w:rPr>
              <w:t>**</w:t>
            </w:r>
          </w:p>
        </w:tc>
        <w:tc>
          <w:tcPr>
            <w:tcW w:w="1276" w:type="dxa"/>
            <w:tcBorders>
              <w:top w:val="single" w:sz="4" w:space="0" w:color="auto"/>
              <w:bottom w:val="single" w:sz="4" w:space="0" w:color="auto"/>
            </w:tcBorders>
            <w:shd w:val="clear" w:color="auto" w:fill="F2F2F2" w:themeFill="background1" w:themeFillShade="F2"/>
          </w:tcPr>
          <w:p w:rsidR="007A5F51" w:rsidRPr="00A0690D" w:rsidRDefault="007A5F51" w:rsidP="00A10F5E">
            <w:pPr>
              <w:jc w:val="center"/>
              <w:rPr>
                <w:bCs/>
              </w:rPr>
            </w:pPr>
            <w:r w:rsidRPr="00A0690D">
              <w:rPr>
                <w:bCs/>
              </w:rPr>
              <w:t>%</w:t>
            </w:r>
          </w:p>
        </w:tc>
        <w:tc>
          <w:tcPr>
            <w:tcW w:w="1276" w:type="dxa"/>
            <w:tcBorders>
              <w:top w:val="single" w:sz="4" w:space="0" w:color="auto"/>
              <w:bottom w:val="single" w:sz="4" w:space="0" w:color="auto"/>
            </w:tcBorders>
          </w:tcPr>
          <w:p w:rsidR="007A5F51" w:rsidRPr="00A0690D" w:rsidRDefault="007A5F51" w:rsidP="00A10F5E">
            <w:pPr>
              <w:jc w:val="center"/>
              <w:rPr>
                <w:bCs/>
                <w:lang w:val="en-US"/>
              </w:rPr>
            </w:pPr>
            <w:r w:rsidRPr="00A0690D">
              <w:rPr>
                <w:bCs/>
                <w:lang w:val="en-US"/>
              </w:rPr>
              <w:t>Min.</w:t>
            </w:r>
            <w:r w:rsidR="00054F7D" w:rsidRPr="00A0690D">
              <w:rPr>
                <w:bCs/>
                <w:lang w:val="en-US"/>
              </w:rPr>
              <w:t>(1)</w:t>
            </w:r>
          </w:p>
        </w:tc>
        <w:tc>
          <w:tcPr>
            <w:tcW w:w="1040" w:type="dxa"/>
            <w:tcBorders>
              <w:top w:val="single" w:sz="4" w:space="0" w:color="auto"/>
              <w:bottom w:val="single" w:sz="4" w:space="0" w:color="auto"/>
            </w:tcBorders>
          </w:tcPr>
          <w:p w:rsidR="007A5F51" w:rsidRPr="00A0690D" w:rsidRDefault="00054F7D" w:rsidP="00A10F5E">
            <w:pPr>
              <w:jc w:val="center"/>
              <w:rPr>
                <w:bCs/>
                <w:lang w:val="en-US"/>
              </w:rPr>
            </w:pPr>
            <w:r w:rsidRPr="00A0690D">
              <w:rPr>
                <w:bCs/>
                <w:lang w:val="en-US"/>
              </w:rPr>
              <w:t>Min.(1)</w:t>
            </w:r>
          </w:p>
        </w:tc>
        <w:tc>
          <w:tcPr>
            <w:tcW w:w="1041" w:type="dxa"/>
            <w:tcBorders>
              <w:top w:val="single" w:sz="4" w:space="0" w:color="auto"/>
              <w:bottom w:val="single" w:sz="4" w:space="0" w:color="auto"/>
            </w:tcBorders>
          </w:tcPr>
          <w:p w:rsidR="007A5F51" w:rsidRPr="00A0690D" w:rsidRDefault="00054F7D" w:rsidP="00A10F5E">
            <w:pPr>
              <w:jc w:val="center"/>
              <w:rPr>
                <w:bCs/>
                <w:lang w:val="en-US"/>
              </w:rPr>
            </w:pPr>
            <w:r w:rsidRPr="00A0690D">
              <w:rPr>
                <w:bCs/>
                <w:lang w:val="en-US"/>
              </w:rPr>
              <w:t>Min.(1)</w:t>
            </w:r>
          </w:p>
        </w:tc>
      </w:tr>
      <w:tr w:rsidR="00F26E22" w:rsidRPr="00A0690D" w:rsidTr="00C30586">
        <w:trPr>
          <w:gridAfter w:val="1"/>
          <w:wAfter w:w="238" w:type="dxa"/>
          <w:trHeight w:val="629"/>
        </w:trPr>
        <w:tc>
          <w:tcPr>
            <w:tcW w:w="5211" w:type="dxa"/>
            <w:tcBorders>
              <w:top w:val="single" w:sz="4" w:space="0" w:color="auto"/>
              <w:bottom w:val="single" w:sz="4" w:space="0" w:color="auto"/>
            </w:tcBorders>
          </w:tcPr>
          <w:p w:rsidR="00F26E22" w:rsidRPr="00762471" w:rsidRDefault="00F26E22" w:rsidP="00A10F5E">
            <w:pPr>
              <w:rPr>
                <w:color w:val="000000" w:themeColor="text1"/>
              </w:rPr>
            </w:pPr>
            <w:r w:rsidRPr="00762471">
              <w:rPr>
                <w:color w:val="000000" w:themeColor="text1"/>
              </w:rPr>
              <w:t>6. Поддържане на валидни сертификати, издадени на производители на строителни продукти, от лица за оценяване на строителни продукти</w:t>
            </w:r>
          </w:p>
        </w:tc>
        <w:tc>
          <w:tcPr>
            <w:tcW w:w="1276" w:type="dxa"/>
            <w:tcBorders>
              <w:top w:val="single" w:sz="4" w:space="0" w:color="auto"/>
              <w:bottom w:val="single" w:sz="4" w:space="0" w:color="auto"/>
            </w:tcBorders>
            <w:shd w:val="clear" w:color="auto" w:fill="F2F2F2" w:themeFill="background1" w:themeFillShade="F2"/>
          </w:tcPr>
          <w:p w:rsidR="00F26E22" w:rsidRPr="00A0690D" w:rsidRDefault="00F26E22" w:rsidP="00A10F5E">
            <w:pPr>
              <w:jc w:val="center"/>
            </w:pPr>
            <w:r w:rsidRPr="00A0690D">
              <w:t>брой</w:t>
            </w:r>
          </w:p>
        </w:tc>
        <w:tc>
          <w:tcPr>
            <w:tcW w:w="1276" w:type="dxa"/>
            <w:tcBorders>
              <w:top w:val="single" w:sz="4" w:space="0" w:color="auto"/>
              <w:bottom w:val="single" w:sz="4" w:space="0" w:color="auto"/>
            </w:tcBorders>
          </w:tcPr>
          <w:p w:rsidR="00F26E22" w:rsidRPr="00762471" w:rsidRDefault="00F26E22" w:rsidP="00A10F5E">
            <w:pPr>
              <w:jc w:val="center"/>
              <w:rPr>
                <w:color w:val="000000" w:themeColor="text1"/>
              </w:rPr>
            </w:pPr>
            <w:r w:rsidRPr="00762471">
              <w:rPr>
                <w:color w:val="000000" w:themeColor="text1"/>
              </w:rPr>
              <w:t>800</w:t>
            </w:r>
          </w:p>
        </w:tc>
        <w:tc>
          <w:tcPr>
            <w:tcW w:w="1040" w:type="dxa"/>
            <w:tcBorders>
              <w:top w:val="single" w:sz="4" w:space="0" w:color="auto"/>
              <w:bottom w:val="single" w:sz="4" w:space="0" w:color="auto"/>
            </w:tcBorders>
          </w:tcPr>
          <w:p w:rsidR="00F26E22" w:rsidRPr="00762471" w:rsidRDefault="00F26E22" w:rsidP="00A10F5E">
            <w:pPr>
              <w:jc w:val="center"/>
              <w:rPr>
                <w:color w:val="000000" w:themeColor="text1"/>
              </w:rPr>
            </w:pPr>
            <w:r w:rsidRPr="00762471">
              <w:rPr>
                <w:color w:val="000000" w:themeColor="text1"/>
              </w:rPr>
              <w:t>800</w:t>
            </w:r>
          </w:p>
        </w:tc>
        <w:tc>
          <w:tcPr>
            <w:tcW w:w="1041" w:type="dxa"/>
            <w:tcBorders>
              <w:top w:val="single" w:sz="4" w:space="0" w:color="auto"/>
              <w:bottom w:val="single" w:sz="4" w:space="0" w:color="auto"/>
            </w:tcBorders>
          </w:tcPr>
          <w:p w:rsidR="00F26E22" w:rsidRPr="00762471" w:rsidRDefault="00F26E22" w:rsidP="00A10F5E">
            <w:pPr>
              <w:jc w:val="center"/>
              <w:rPr>
                <w:color w:val="000000" w:themeColor="text1"/>
              </w:rPr>
            </w:pPr>
            <w:r w:rsidRPr="00762471">
              <w:rPr>
                <w:color w:val="000000" w:themeColor="text1"/>
                <w:lang w:val="en-US"/>
              </w:rPr>
              <w:t>800</w:t>
            </w:r>
          </w:p>
        </w:tc>
      </w:tr>
      <w:tr w:rsidR="00F26E22" w:rsidRPr="00A0690D" w:rsidTr="001D45BB">
        <w:trPr>
          <w:trHeight w:val="1133"/>
        </w:trPr>
        <w:tc>
          <w:tcPr>
            <w:tcW w:w="5211" w:type="dxa"/>
            <w:tcBorders>
              <w:top w:val="nil"/>
              <w:bottom w:val="single" w:sz="4" w:space="0" w:color="auto"/>
            </w:tcBorders>
          </w:tcPr>
          <w:p w:rsidR="00F26E22" w:rsidRPr="00762471" w:rsidRDefault="00F26E22" w:rsidP="00A10F5E">
            <w:pPr>
              <w:jc w:val="both"/>
              <w:rPr>
                <w:color w:val="000000" w:themeColor="text1"/>
              </w:rPr>
            </w:pPr>
            <w:r w:rsidRPr="00762471">
              <w:rPr>
                <w:color w:val="000000" w:themeColor="text1"/>
              </w:rPr>
              <w:t>7.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1276" w:type="dxa"/>
            <w:tcBorders>
              <w:top w:val="nil"/>
              <w:bottom w:val="single" w:sz="4" w:space="0" w:color="auto"/>
            </w:tcBorders>
            <w:shd w:val="clear" w:color="auto" w:fill="F2F2F2" w:themeFill="background1" w:themeFillShade="F2"/>
          </w:tcPr>
          <w:p w:rsidR="00F26E22" w:rsidRPr="00A0690D" w:rsidRDefault="00F26E22" w:rsidP="00A10F5E">
            <w:pPr>
              <w:jc w:val="center"/>
            </w:pPr>
            <w:r w:rsidRPr="00A0690D">
              <w:t>брой</w:t>
            </w:r>
          </w:p>
        </w:tc>
        <w:tc>
          <w:tcPr>
            <w:tcW w:w="1276" w:type="dxa"/>
            <w:tcBorders>
              <w:top w:val="nil"/>
              <w:bottom w:val="single" w:sz="4" w:space="0" w:color="auto"/>
            </w:tcBorders>
          </w:tcPr>
          <w:p w:rsidR="00F26E22" w:rsidRPr="00762471" w:rsidRDefault="00F26E22" w:rsidP="00A10F5E">
            <w:pPr>
              <w:jc w:val="center"/>
              <w:rPr>
                <w:color w:val="000000" w:themeColor="text1"/>
                <w:lang w:val="en-US"/>
              </w:rPr>
            </w:pPr>
            <w:r w:rsidRPr="00762471">
              <w:rPr>
                <w:color w:val="000000" w:themeColor="text1"/>
                <w:lang w:val="en-US"/>
              </w:rPr>
              <w:t>5</w:t>
            </w:r>
          </w:p>
        </w:tc>
        <w:tc>
          <w:tcPr>
            <w:tcW w:w="1040" w:type="dxa"/>
            <w:tcBorders>
              <w:top w:val="nil"/>
              <w:bottom w:val="single" w:sz="4" w:space="0" w:color="auto"/>
            </w:tcBorders>
          </w:tcPr>
          <w:p w:rsidR="00F26E22" w:rsidRPr="00762471" w:rsidRDefault="00F26E22" w:rsidP="00A10F5E">
            <w:pPr>
              <w:jc w:val="center"/>
              <w:rPr>
                <w:color w:val="000000" w:themeColor="text1"/>
                <w:lang w:val="en-US"/>
              </w:rPr>
            </w:pPr>
            <w:r w:rsidRPr="00762471">
              <w:rPr>
                <w:color w:val="000000" w:themeColor="text1"/>
                <w:lang w:val="en-US"/>
              </w:rPr>
              <w:t>5</w:t>
            </w:r>
          </w:p>
        </w:tc>
        <w:tc>
          <w:tcPr>
            <w:tcW w:w="1041" w:type="dxa"/>
            <w:tcBorders>
              <w:top w:val="nil"/>
              <w:bottom w:val="single" w:sz="4" w:space="0" w:color="auto"/>
            </w:tcBorders>
          </w:tcPr>
          <w:p w:rsidR="00F26E22" w:rsidRPr="00762471" w:rsidRDefault="00F26E22" w:rsidP="00A10F5E">
            <w:pPr>
              <w:jc w:val="center"/>
              <w:rPr>
                <w:color w:val="000000" w:themeColor="text1"/>
                <w:lang w:val="en-US"/>
              </w:rPr>
            </w:pPr>
            <w:r w:rsidRPr="00762471">
              <w:rPr>
                <w:color w:val="000000" w:themeColor="text1"/>
                <w:lang w:val="en-US"/>
              </w:rPr>
              <w:t>5</w:t>
            </w:r>
          </w:p>
        </w:tc>
        <w:tc>
          <w:tcPr>
            <w:tcW w:w="238" w:type="dxa"/>
            <w:tcBorders>
              <w:top w:val="nil"/>
            </w:tcBorders>
          </w:tcPr>
          <w:p w:rsidR="00F26E22" w:rsidRPr="00A0690D" w:rsidRDefault="00F26E22" w:rsidP="00A10F5E">
            <w:pPr>
              <w:jc w:val="center"/>
              <w:rPr>
                <w:bCs/>
                <w:highlight w:val="yellow"/>
                <w:lang w:val="en-US"/>
              </w:rPr>
            </w:pPr>
          </w:p>
        </w:tc>
      </w:tr>
      <w:tr w:rsidR="00F26E22" w:rsidRPr="00EC7471" w:rsidTr="00CD5956">
        <w:trPr>
          <w:trHeight w:val="175"/>
        </w:trPr>
        <w:tc>
          <w:tcPr>
            <w:tcW w:w="5211" w:type="dxa"/>
            <w:tcBorders>
              <w:top w:val="single" w:sz="4" w:space="0" w:color="auto"/>
              <w:bottom w:val="single" w:sz="4" w:space="0" w:color="auto"/>
            </w:tcBorders>
          </w:tcPr>
          <w:p w:rsidR="00F26E22" w:rsidRPr="00A0690D" w:rsidRDefault="00F26E22" w:rsidP="00A10F5E">
            <w:pPr>
              <w:jc w:val="both"/>
            </w:pPr>
            <w:r w:rsidRPr="00A0690D">
              <w:t>8. Поддържане на регулаторна база от технически нормативни актове за обследване, проектиране, изграждане и поддържане на строежите</w:t>
            </w:r>
          </w:p>
        </w:tc>
        <w:tc>
          <w:tcPr>
            <w:tcW w:w="1276" w:type="dxa"/>
            <w:tcBorders>
              <w:top w:val="single" w:sz="4" w:space="0" w:color="auto"/>
              <w:bottom w:val="single" w:sz="4" w:space="0" w:color="auto"/>
            </w:tcBorders>
            <w:shd w:val="clear" w:color="auto" w:fill="F2F2F2" w:themeFill="background1" w:themeFillShade="F2"/>
          </w:tcPr>
          <w:p w:rsidR="00F26E22" w:rsidRPr="00A0690D" w:rsidRDefault="00F26E22" w:rsidP="00A10F5E">
            <w:pPr>
              <w:jc w:val="center"/>
            </w:pPr>
            <w:r w:rsidRPr="00A0690D">
              <w:t>брой</w:t>
            </w:r>
          </w:p>
        </w:tc>
        <w:tc>
          <w:tcPr>
            <w:tcW w:w="1276" w:type="dxa"/>
            <w:tcBorders>
              <w:top w:val="single" w:sz="4" w:space="0" w:color="auto"/>
              <w:bottom w:val="single" w:sz="4" w:space="0" w:color="auto"/>
            </w:tcBorders>
          </w:tcPr>
          <w:p w:rsidR="00F26E22" w:rsidRPr="00EC7471" w:rsidRDefault="00F26E22" w:rsidP="00A10F5E">
            <w:pPr>
              <w:jc w:val="center"/>
            </w:pPr>
            <w:r w:rsidRPr="00EC7471">
              <w:t>73</w:t>
            </w:r>
          </w:p>
        </w:tc>
        <w:tc>
          <w:tcPr>
            <w:tcW w:w="1040" w:type="dxa"/>
            <w:tcBorders>
              <w:top w:val="single" w:sz="4" w:space="0" w:color="auto"/>
              <w:bottom w:val="single" w:sz="4" w:space="0" w:color="auto"/>
            </w:tcBorders>
          </w:tcPr>
          <w:p w:rsidR="00F26E22" w:rsidRPr="00EC7471" w:rsidRDefault="00F26E22" w:rsidP="00A10F5E">
            <w:pPr>
              <w:jc w:val="center"/>
            </w:pPr>
            <w:r w:rsidRPr="00EC7471">
              <w:t>75</w:t>
            </w:r>
          </w:p>
        </w:tc>
        <w:tc>
          <w:tcPr>
            <w:tcW w:w="1041" w:type="dxa"/>
            <w:tcBorders>
              <w:top w:val="single" w:sz="4" w:space="0" w:color="auto"/>
              <w:bottom w:val="single" w:sz="4" w:space="0" w:color="auto"/>
            </w:tcBorders>
          </w:tcPr>
          <w:p w:rsidR="00F26E22" w:rsidRPr="00EC7471" w:rsidRDefault="00F26E22" w:rsidP="00A10F5E">
            <w:pPr>
              <w:jc w:val="center"/>
            </w:pPr>
            <w:r w:rsidRPr="00EC7471">
              <w:t>75</w:t>
            </w:r>
          </w:p>
        </w:tc>
        <w:tc>
          <w:tcPr>
            <w:tcW w:w="238" w:type="dxa"/>
            <w:tcBorders>
              <w:top w:val="nil"/>
            </w:tcBorders>
          </w:tcPr>
          <w:p w:rsidR="00F26E22" w:rsidRPr="00EC7471" w:rsidRDefault="00F26E22" w:rsidP="00A10F5E">
            <w:pPr>
              <w:jc w:val="center"/>
              <w:rPr>
                <w:bCs/>
                <w:lang w:val="en-US"/>
              </w:rPr>
            </w:pPr>
          </w:p>
        </w:tc>
      </w:tr>
    </w:tbl>
    <w:p w:rsidR="00CD19BF" w:rsidRDefault="00CD19BF" w:rsidP="00A10F5E">
      <w:pPr>
        <w:spacing w:after="0" w:line="240" w:lineRule="auto"/>
        <w:ind w:firstLine="567"/>
        <w:contextualSpacing/>
        <w:jc w:val="both"/>
        <w:rPr>
          <w:rFonts w:ascii="Times New Roman" w:eastAsia="Calibri" w:hAnsi="Times New Roman" w:cs="Times New Roman"/>
          <w:b/>
          <w:i/>
          <w:color w:val="0000CC"/>
        </w:rPr>
      </w:pPr>
    </w:p>
    <w:p w:rsidR="00396D66" w:rsidRPr="00396D66" w:rsidRDefault="00396D66" w:rsidP="00A10F5E">
      <w:pPr>
        <w:spacing w:after="0" w:line="240" w:lineRule="auto"/>
        <w:ind w:firstLine="567"/>
        <w:contextualSpacing/>
        <w:jc w:val="both"/>
        <w:rPr>
          <w:rFonts w:ascii="Times New Roman" w:eastAsia="Calibri" w:hAnsi="Times New Roman" w:cs="Times New Roman"/>
          <w:b/>
          <w:i/>
          <w:color w:val="0000CC"/>
        </w:rPr>
      </w:pPr>
      <w:r w:rsidRPr="00396D66">
        <w:rPr>
          <w:rFonts w:ascii="Times New Roman" w:eastAsia="Calibri" w:hAnsi="Times New Roman" w:cs="Times New Roman"/>
          <w:b/>
          <w:i/>
          <w:color w:val="0000CC"/>
        </w:rPr>
        <w:t>Мотиви за промяна в индикатори и целеви стойности, спрямо одобрените с РМС №963/2020 г:</w:t>
      </w:r>
    </w:p>
    <w:p w:rsidR="00396D66" w:rsidRPr="00396D66" w:rsidRDefault="00396D66" w:rsidP="00A10F5E">
      <w:pPr>
        <w:numPr>
          <w:ilvl w:val="0"/>
          <w:numId w:val="1"/>
        </w:numPr>
        <w:tabs>
          <w:tab w:val="left" w:pos="851"/>
        </w:tabs>
        <w:spacing w:after="0" w:line="240" w:lineRule="auto"/>
        <w:ind w:left="0" w:firstLine="567"/>
        <w:contextualSpacing/>
        <w:jc w:val="both"/>
        <w:rPr>
          <w:rFonts w:ascii="Times New Roman" w:eastAsia="Calibri" w:hAnsi="Times New Roman" w:cs="Times New Roman"/>
        </w:rPr>
      </w:pPr>
      <w:r w:rsidRPr="00396D66">
        <w:rPr>
          <w:rFonts w:ascii="Times New Roman" w:eastAsia="Calibri" w:hAnsi="Times New Roman" w:cs="Times New Roman"/>
          <w:b/>
          <w:i/>
        </w:rPr>
        <w:t>Показател „Преизмерени нивелачни линии от ДНМ“</w:t>
      </w:r>
      <w:r w:rsidRPr="00396D66">
        <w:rPr>
          <w:rFonts w:ascii="Times New Roman" w:eastAsia="Calibri" w:hAnsi="Times New Roman" w:cs="Times New Roman"/>
        </w:rPr>
        <w:t xml:space="preserve"> - наименованието на индикатора е променено с оглед уеднаквяване с индикатора към съответната мярка по Приоритет 9 от Плана за </w:t>
      </w:r>
      <w:r w:rsidRPr="00396D66">
        <w:rPr>
          <w:rFonts w:ascii="Times New Roman" w:eastAsia="Calibri" w:hAnsi="Times New Roman" w:cs="Times New Roman"/>
        </w:rPr>
        <w:lastRenderedPageBreak/>
        <w:t>действие за изпълнението на Националната програма за развитие България 2030 (НПР България 2030). Индикаторът отразява поддържането и обновяването на Държавната нивелачна мрежа (ДНМ), с което се осигурява актуална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r w:rsidRPr="00396D66">
        <w:rPr>
          <w:rFonts w:ascii="Times New Roman" w:eastAsia="Calibri" w:hAnsi="Times New Roman" w:cs="Times New Roman"/>
          <w:i/>
        </w:rPr>
        <w:t xml:space="preserve"> </w:t>
      </w:r>
      <w:r w:rsidRPr="00396D66">
        <w:rPr>
          <w:rFonts w:ascii="Times New Roman" w:eastAsia="Calibri" w:hAnsi="Times New Roman" w:cs="Times New Roman"/>
        </w:rPr>
        <w:t>Целевата стойност на показателя е променена, поради забава в изработването и приемането на подзаконови нормативни документи, което възпрепятства възлагане на дейностите, респективно достигане на заложените стойности;</w:t>
      </w:r>
    </w:p>
    <w:p w:rsidR="00396D66" w:rsidRPr="00396D66" w:rsidRDefault="00396D66" w:rsidP="00A10F5E">
      <w:pPr>
        <w:numPr>
          <w:ilvl w:val="0"/>
          <w:numId w:val="1"/>
        </w:numPr>
        <w:tabs>
          <w:tab w:val="left" w:pos="851"/>
        </w:tabs>
        <w:spacing w:after="0" w:line="240" w:lineRule="auto"/>
        <w:ind w:left="0" w:firstLine="567"/>
        <w:contextualSpacing/>
        <w:jc w:val="both"/>
        <w:rPr>
          <w:rFonts w:ascii="Times New Roman" w:eastAsia="Calibri" w:hAnsi="Times New Roman" w:cs="Times New Roman"/>
        </w:rPr>
      </w:pPr>
      <w:r w:rsidRPr="00396D66">
        <w:rPr>
          <w:rFonts w:ascii="Times New Roman" w:eastAsia="Calibri" w:hAnsi="Times New Roman" w:cs="Times New Roman"/>
          <w:b/>
          <w:i/>
        </w:rPr>
        <w:t>Показател „Създаване на единен цифров модел за едромащабна топографска карта на Република България“</w:t>
      </w:r>
      <w:r w:rsidRPr="00396D66">
        <w:rPr>
          <w:rFonts w:ascii="Times New Roman" w:eastAsia="Calibri" w:hAnsi="Times New Roman" w:cs="Times New Roman"/>
        </w:rPr>
        <w:t xml:space="preserve"> – целевата стойност на показателя е променена, поради недостиг на финансови средства в бюджета на АГКК и </w:t>
      </w:r>
      <w:r w:rsidRPr="00396D66">
        <w:rPr>
          <w:rFonts w:ascii="Times New Roman" w:eastAsia="Times New Roman" w:hAnsi="Times New Roman" w:cs="Times New Roman"/>
          <w:lang w:eastAsia="bg-BG"/>
        </w:rPr>
        <w:t>не получаване на одобрение на проектно предложение, разработено с подкрепата и принципното съгласие на Норвежката картографска агенция (Kartverket), за финансиране по Финансовият механизъм на Европейското икономическо пространство и Норвежкият финансов механизъм;</w:t>
      </w:r>
    </w:p>
    <w:p w:rsidR="00396D66" w:rsidRPr="00396D66" w:rsidRDefault="00396D66" w:rsidP="00A10F5E">
      <w:pPr>
        <w:numPr>
          <w:ilvl w:val="0"/>
          <w:numId w:val="1"/>
        </w:numPr>
        <w:tabs>
          <w:tab w:val="left" w:pos="851"/>
        </w:tabs>
        <w:spacing w:after="0" w:line="240" w:lineRule="auto"/>
        <w:ind w:left="0" w:firstLine="567"/>
        <w:contextualSpacing/>
        <w:jc w:val="both"/>
        <w:rPr>
          <w:rFonts w:ascii="Times New Roman" w:eastAsia="Calibri" w:hAnsi="Times New Roman" w:cs="Times New Roman"/>
        </w:rPr>
      </w:pPr>
      <w:r w:rsidRPr="00396D66">
        <w:rPr>
          <w:rFonts w:ascii="Times New Roman" w:eastAsia="Calibri" w:hAnsi="Times New Roman" w:cs="Times New Roman"/>
        </w:rPr>
        <w:t xml:space="preserve">Промяната в целевата стойност на </w:t>
      </w:r>
      <w:r w:rsidRPr="00396D66">
        <w:rPr>
          <w:rFonts w:ascii="Times New Roman" w:eastAsia="Calibri" w:hAnsi="Times New Roman" w:cs="Times New Roman"/>
          <w:b/>
          <w:i/>
        </w:rPr>
        <w:t>показател „Поддържане на валидни сертификати, издадени на производители на строителни продукти, от лица за оценяване на строителни продукти“</w:t>
      </w:r>
      <w:r w:rsidRPr="00396D66">
        <w:rPr>
          <w:rFonts w:ascii="Times New Roman" w:eastAsia="Calibri" w:hAnsi="Times New Roman" w:cs="Times New Roman"/>
        </w:rPr>
        <w:t xml:space="preserve"> се дължи на: Процесът на оценяване на строителни продукти, издаването и поддържането на сертификати от лица за оценяване на строителни продукти, е обхванат от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и на Наредба № РД-02-20-1 от 2015 г. за условията и реда за влагане на строителни продукти в строежите на Република България. (Обн. ДВ. бр. 14 от 20.02.2015 г.). Към настоящият момент Регламент (ЕС) № 305/2011 е в процес на преработка и промяна на сертификационните критерии, като се очаква до края на 2021 г. да има нов европейски акт, регламентиращ оценяването на строителните продукти. По предварителна информация, получена от Европейската комисия, сертификационните критерии ще бъдат много променени, което ще доведе до намаляване на броя на издадените сертификати.</w:t>
      </w:r>
    </w:p>
    <w:p w:rsidR="00396D66" w:rsidRPr="00396D66" w:rsidRDefault="00396D66" w:rsidP="00A10F5E">
      <w:pPr>
        <w:numPr>
          <w:ilvl w:val="0"/>
          <w:numId w:val="1"/>
        </w:numPr>
        <w:tabs>
          <w:tab w:val="left" w:pos="851"/>
        </w:tabs>
        <w:spacing w:after="0" w:line="240" w:lineRule="auto"/>
        <w:ind w:left="0" w:firstLine="567"/>
        <w:contextualSpacing/>
        <w:jc w:val="both"/>
        <w:rPr>
          <w:rFonts w:ascii="Times New Roman" w:eastAsia="Calibri" w:hAnsi="Times New Roman" w:cs="Times New Roman"/>
          <w:i/>
        </w:rPr>
      </w:pPr>
      <w:r w:rsidRPr="00396D66">
        <w:rPr>
          <w:rFonts w:ascii="Times New Roman" w:eastAsia="Calibri" w:hAnsi="Times New Roman" w:cs="Times New Roman"/>
          <w:b/>
          <w:i/>
        </w:rPr>
        <w:t>Индикаторът „Поддържане на регулаторна база от технически нормативни актове за обследване, проектиране, изграждане и поддържане на строежите„</w:t>
      </w:r>
      <w:r w:rsidRPr="00396D66">
        <w:rPr>
          <w:rFonts w:ascii="Times New Roman" w:eastAsia="Calibri" w:hAnsi="Times New Roman" w:cs="Times New Roman"/>
        </w:rPr>
        <w:t xml:space="preserve"> осигурява взаимообвързаното прилагане на Закона за устройство на територията (ЗУТ), Закона за енергийната ефективност, Закона за енергетиката, Закона за електроните съобщителни мрежи и физическа инфраструктура, Закона за движението по пътищата, Закона за пътищата и др., както и на актовете по тяхното прилагане, във връзка с изпълнението на основните изисквания към строежите съгласно чл. 169 от ЗУТ и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с оглед проектиране, изпълнение и поддържане на безопасни, енергоефективни и достъпни строежи (сгради и строителни съоръжения), </w:t>
      </w:r>
      <w:r w:rsidRPr="00396D66">
        <w:rPr>
          <w:rFonts w:ascii="Times New Roman" w:eastAsia="Calibri" w:hAnsi="Times New Roman" w:cs="Times New Roman"/>
          <w:i/>
        </w:rPr>
        <w:t>което налага включването му в бюджетна прогноза 2022-2024 г.</w:t>
      </w:r>
    </w:p>
    <w:p w:rsidR="00A10F5E" w:rsidRDefault="00A10F5E" w:rsidP="00A10F5E">
      <w:pPr>
        <w:spacing w:after="0" w:line="240" w:lineRule="auto"/>
        <w:ind w:firstLine="567"/>
        <w:jc w:val="both"/>
        <w:rPr>
          <w:rFonts w:ascii="Times New Roman" w:eastAsia="Times New Roman" w:hAnsi="Times New Roman" w:cs="Times New Roman"/>
          <w:b/>
          <w:i/>
          <w:color w:val="0000CC"/>
          <w:lang w:eastAsia="bg-BG"/>
        </w:rPr>
      </w:pPr>
    </w:p>
    <w:p w:rsidR="00396D66" w:rsidRPr="00396D66" w:rsidRDefault="00396D66" w:rsidP="00A10F5E">
      <w:pPr>
        <w:spacing w:after="0" w:line="240" w:lineRule="auto"/>
        <w:ind w:firstLine="567"/>
        <w:jc w:val="both"/>
        <w:rPr>
          <w:rFonts w:ascii="Times New Roman" w:eastAsia="Times New Roman" w:hAnsi="Times New Roman" w:cs="Times New Roman"/>
          <w:b/>
          <w:i/>
          <w:color w:val="0000CC"/>
          <w:lang w:eastAsia="bg-BG"/>
        </w:rPr>
      </w:pPr>
      <w:r w:rsidRPr="00396D66">
        <w:rPr>
          <w:rFonts w:ascii="Times New Roman" w:eastAsia="Times New Roman" w:hAnsi="Times New Roman" w:cs="Times New Roman"/>
          <w:b/>
          <w:i/>
          <w:color w:val="0000CC"/>
          <w:lang w:eastAsia="bg-BG"/>
        </w:rPr>
        <w:t xml:space="preserve">Описание на показатели за полза/ефект </w:t>
      </w:r>
    </w:p>
    <w:p w:rsidR="009E2262" w:rsidRPr="009E2262" w:rsidRDefault="009E2262" w:rsidP="00A10F5E">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„Поддържане на валидни сертификати, издадени на производители на строителни продукти, от лица за оценяване на строителни продукти“</w:t>
      </w:r>
      <w:r w:rsidRPr="009E2262">
        <w:rPr>
          <w:rFonts w:ascii="Times New Roman" w:eastAsia="Batang" w:hAnsi="Times New Roman" w:cs="Times New Roman"/>
          <w:lang w:val="en-US" w:eastAsia="ko-KR"/>
        </w:rPr>
        <w:t xml:space="preserve">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r>
        <w:rPr>
          <w:rFonts w:ascii="Times New Roman" w:eastAsia="Batang" w:hAnsi="Times New Roman" w:cs="Times New Roman"/>
          <w:lang w:eastAsia="ko-KR"/>
        </w:rPr>
        <w:t>;</w:t>
      </w:r>
    </w:p>
    <w:p w:rsidR="009E2262" w:rsidRDefault="009E2262" w:rsidP="00A10F5E">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r w:rsidRPr="009E2262">
        <w:rPr>
          <w:rFonts w:ascii="Times New Roman" w:eastAsia="Batang" w:hAnsi="Times New Roman" w:cs="Times New Roman"/>
          <w:lang w:val="en-US" w:eastAsia="ko-KR"/>
        </w:rPr>
        <w:t xml:space="preserve">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w:t>
      </w:r>
      <w:r w:rsidRPr="009E2262">
        <w:rPr>
          <w:rFonts w:ascii="Times New Roman" w:eastAsia="Batang" w:hAnsi="Times New Roman" w:cs="Times New Roman"/>
          <w:lang w:val="en-US" w:eastAsia="ko-KR"/>
        </w:rPr>
        <w:lastRenderedPageBreak/>
        <w:t>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B2804" w:rsidRDefault="009E2262" w:rsidP="00A10F5E">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„Поддържане на регулаторна база от технически нормативни актове за обследване, проектиране, изграждане и поддържане на строежите“</w:t>
      </w:r>
      <w:r w:rsidRPr="009E2262">
        <w:rPr>
          <w:rFonts w:ascii="Times New Roman" w:eastAsia="Batang" w:hAnsi="Times New Roman" w:cs="Times New Roman"/>
          <w:lang w:val="en-US" w:eastAsia="ko-KR"/>
        </w:rPr>
        <w:t xml:space="preserve">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AB2A11" w:rsidRDefault="00AB2A11" w:rsidP="00A10F5E">
      <w:pPr>
        <w:pStyle w:val="ListParagraph"/>
        <w:numPr>
          <w:ilvl w:val="0"/>
          <w:numId w:val="1"/>
        </w:numPr>
        <w:spacing w:after="0" w:line="240" w:lineRule="auto"/>
        <w:ind w:left="0" w:firstLine="567"/>
        <w:jc w:val="both"/>
        <w:rPr>
          <w:rFonts w:ascii="Times New Roman" w:eastAsia="Batang" w:hAnsi="Times New Roman" w:cs="Times New Roman"/>
          <w:lang w:eastAsia="ko-KR"/>
        </w:rPr>
      </w:pPr>
      <w:r>
        <w:rPr>
          <w:rFonts w:ascii="Times New Roman" w:eastAsia="Batang" w:hAnsi="Times New Roman" w:cs="Times New Roman"/>
          <w:b/>
          <w:i/>
          <w:lang w:eastAsia="ko-KR"/>
        </w:rPr>
        <w:t>Показатели „</w:t>
      </w:r>
      <w:r w:rsidRPr="00AB2A11">
        <w:rPr>
          <w:rFonts w:ascii="Times New Roman" w:eastAsia="Batang" w:hAnsi="Times New Roman" w:cs="Times New Roman"/>
          <w:b/>
          <w:i/>
          <w:lang w:val="en-US" w:eastAsia="ko-KR"/>
        </w:rPr>
        <w:t>Предоставени услуги от геодезически топографски и кадастрални данни</w:t>
      </w:r>
      <w:r>
        <w:rPr>
          <w:rFonts w:ascii="Times New Roman" w:eastAsia="Batang" w:hAnsi="Times New Roman" w:cs="Times New Roman"/>
          <w:b/>
          <w:i/>
          <w:lang w:eastAsia="ko-KR"/>
        </w:rPr>
        <w:t>“, „</w:t>
      </w:r>
      <w:r w:rsidRPr="00AB2A11">
        <w:rPr>
          <w:rFonts w:ascii="Times New Roman" w:eastAsia="Batang" w:hAnsi="Times New Roman" w:cs="Times New Roman"/>
          <w:b/>
          <w:i/>
          <w:lang w:eastAsia="ko-KR"/>
        </w:rPr>
        <w:t>Преизмерване на ДНМ (нивелация I – около 5500 км)</w:t>
      </w:r>
      <w:r>
        <w:rPr>
          <w:rFonts w:ascii="Times New Roman" w:eastAsia="Batang" w:hAnsi="Times New Roman" w:cs="Times New Roman"/>
          <w:b/>
          <w:i/>
          <w:lang w:eastAsia="ko-KR"/>
        </w:rPr>
        <w:t xml:space="preserve"> и „</w:t>
      </w:r>
      <w:r w:rsidRPr="00AB2A11">
        <w:rPr>
          <w:rFonts w:ascii="Times New Roman" w:eastAsia="Batang" w:hAnsi="Times New Roman" w:cs="Times New Roman"/>
          <w:b/>
          <w:i/>
          <w:lang w:eastAsia="ko-KR"/>
        </w:rPr>
        <w:t>Създаване на единен цифров модел за едромащабна топографска карта на Република България</w:t>
      </w:r>
      <w:r>
        <w:rPr>
          <w:rFonts w:ascii="Times New Roman" w:eastAsia="Batang" w:hAnsi="Times New Roman" w:cs="Times New Roman"/>
          <w:b/>
          <w:i/>
          <w:lang w:eastAsia="ko-KR"/>
        </w:rPr>
        <w:t xml:space="preserve">“ </w:t>
      </w:r>
      <w:r w:rsidRPr="00AB2A11">
        <w:rPr>
          <w:rFonts w:ascii="Times New Roman" w:eastAsia="Batang" w:hAnsi="Times New Roman" w:cs="Times New Roman"/>
          <w:lang w:eastAsia="ko-KR"/>
        </w:rPr>
        <w:t>измерват стратегическа цел</w:t>
      </w:r>
      <w:r>
        <w:rPr>
          <w:rFonts w:ascii="Times New Roman" w:eastAsia="Batang" w:hAnsi="Times New Roman" w:cs="Times New Roman"/>
          <w:b/>
          <w:i/>
          <w:lang w:eastAsia="ko-KR"/>
        </w:rPr>
        <w:t xml:space="preserve"> </w:t>
      </w:r>
      <w:r w:rsidRPr="00AB2A11">
        <w:rPr>
          <w:rFonts w:ascii="Times New Roman" w:eastAsia="Batang" w:hAnsi="Times New Roman" w:cs="Times New Roman"/>
          <w:lang w:eastAsia="ko-KR"/>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w:t>
      </w:r>
      <w:r>
        <w:rPr>
          <w:rFonts w:ascii="Times New Roman" w:eastAsia="Batang" w:hAnsi="Times New Roman" w:cs="Times New Roman"/>
          <w:lang w:eastAsia="ko-KR"/>
        </w:rPr>
        <w:t>.</w:t>
      </w:r>
    </w:p>
    <w:p w:rsidR="00AB2A11" w:rsidRPr="00AC026D" w:rsidRDefault="007A4A59" w:rsidP="00A10F5E">
      <w:pPr>
        <w:pStyle w:val="ListParagraph"/>
        <w:numPr>
          <w:ilvl w:val="0"/>
          <w:numId w:val="1"/>
        </w:numPr>
        <w:spacing w:after="0" w:line="240" w:lineRule="auto"/>
        <w:ind w:left="0" w:firstLine="567"/>
        <w:jc w:val="both"/>
        <w:rPr>
          <w:rFonts w:ascii="Times New Roman" w:eastAsia="Batang" w:hAnsi="Times New Roman" w:cs="Times New Roman"/>
          <w:b/>
          <w:i/>
          <w:lang w:eastAsia="ko-KR"/>
        </w:rPr>
      </w:pPr>
      <w:r w:rsidRPr="007A4A59">
        <w:rPr>
          <w:rFonts w:ascii="Times New Roman" w:eastAsia="Batang" w:hAnsi="Times New Roman" w:cs="Times New Roman"/>
          <w:b/>
          <w:i/>
          <w:lang w:eastAsia="ko-KR"/>
        </w:rPr>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w:t>
      </w:r>
      <w:r>
        <w:rPr>
          <w:rFonts w:ascii="Times New Roman" w:eastAsia="Batang" w:hAnsi="Times New Roman" w:cs="Times New Roman"/>
          <w:b/>
          <w:i/>
          <w:lang w:eastAsia="ko-KR"/>
        </w:rPr>
        <w:t xml:space="preserve"> </w:t>
      </w:r>
      <w:r w:rsidRPr="007A4A59">
        <w:rPr>
          <w:rFonts w:ascii="Times New Roman" w:eastAsia="Batang" w:hAnsi="Times New Roman" w:cs="Times New Roman"/>
          <w:lang w:eastAsia="ko-KR"/>
        </w:rPr>
        <w:t xml:space="preserve">измерва </w:t>
      </w:r>
      <w:r w:rsidR="001D45BB">
        <w:rPr>
          <w:rFonts w:ascii="Times New Roman" w:eastAsia="Batang" w:hAnsi="Times New Roman" w:cs="Times New Roman"/>
          <w:lang w:eastAsia="ko-KR"/>
        </w:rPr>
        <w:t>цел „</w:t>
      </w:r>
      <w:r w:rsidR="001D45BB" w:rsidRPr="001D45BB">
        <w:rPr>
          <w:rFonts w:ascii="Times New Roman" w:eastAsia="Batang" w:hAnsi="Times New Roman" w:cs="Times New Roman"/>
          <w:lang w:eastAsia="ko-KR"/>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w:t>
      </w:r>
      <w:r w:rsidR="001D45BB">
        <w:rPr>
          <w:rFonts w:ascii="Times New Roman" w:eastAsia="Batang" w:hAnsi="Times New Roman" w:cs="Times New Roman"/>
          <w:lang w:eastAsia="ko-KR"/>
        </w:rPr>
        <w:t>ти в областта на строителството“.</w:t>
      </w:r>
    </w:p>
    <w:sectPr w:rsidR="00AB2A11" w:rsidRPr="00AC026D" w:rsidSect="00CD19BF">
      <w:headerReference w:type="default" r:id="rId8"/>
      <w:footerReference w:type="default" r:id="rId9"/>
      <w:headerReference w:type="first" r:id="rId10"/>
      <w:pgSz w:w="11906" w:h="16838"/>
      <w:pgMar w:top="1702" w:right="991" w:bottom="851" w:left="1276" w:header="993"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19" w:rsidRDefault="00151619">
      <w:pPr>
        <w:spacing w:after="0" w:line="240" w:lineRule="auto"/>
      </w:pPr>
      <w:r>
        <w:separator/>
      </w:r>
    </w:p>
  </w:endnote>
  <w:endnote w:type="continuationSeparator" w:id="0">
    <w:p w:rsidR="00151619" w:rsidRDefault="0015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19162"/>
      <w:docPartObj>
        <w:docPartGallery w:val="Page Numbers (Bottom of Page)"/>
        <w:docPartUnique/>
      </w:docPartObj>
    </w:sdtPr>
    <w:sdtEndPr/>
    <w:sdtContent>
      <w:sdt>
        <w:sdtPr>
          <w:id w:val="256648452"/>
          <w:docPartObj>
            <w:docPartGallery w:val="Page Numbers (Top of Page)"/>
            <w:docPartUnique/>
          </w:docPartObj>
        </w:sdtPr>
        <w:sdtEndPr/>
        <w:sdtContent>
          <w:p w:rsidR="00391AC1" w:rsidRPr="0025354B" w:rsidRDefault="00061E89">
            <w:pPr>
              <w:pStyle w:val="Footer"/>
              <w:jc w:val="right"/>
              <w:rPr>
                <w:b/>
                <w:bCs/>
                <w:lang w:val="en-US"/>
              </w:rPr>
            </w:pPr>
            <w:r>
              <w:t xml:space="preserve">стр. </w:t>
            </w:r>
            <w:r>
              <w:rPr>
                <w:b/>
                <w:bCs/>
              </w:rPr>
              <w:fldChar w:fldCharType="begin"/>
            </w:r>
            <w:r>
              <w:rPr>
                <w:b/>
                <w:bCs/>
              </w:rPr>
              <w:instrText xml:space="preserve"> PAGE </w:instrText>
            </w:r>
            <w:r>
              <w:rPr>
                <w:b/>
                <w:bCs/>
              </w:rPr>
              <w:fldChar w:fldCharType="separate"/>
            </w:r>
            <w:r w:rsidR="00CD19BF">
              <w:rPr>
                <w:b/>
                <w:bCs/>
                <w:noProof/>
              </w:rPr>
              <w:t>3</w:t>
            </w:r>
            <w:r>
              <w:rPr>
                <w:b/>
                <w:bCs/>
              </w:rPr>
              <w:fldChar w:fldCharType="end"/>
            </w:r>
            <w:r>
              <w:t xml:space="preserve"> от </w:t>
            </w:r>
            <w:r w:rsidR="00391AC1">
              <w:rPr>
                <w:b/>
                <w:bCs/>
              </w:rPr>
              <w:t>1</w:t>
            </w:r>
            <w:r w:rsidR="0025354B">
              <w:rPr>
                <w:b/>
                <w:bCs/>
                <w:lang w:val="en-US"/>
              </w:rPr>
              <w:t>3</w:t>
            </w:r>
          </w:p>
          <w:p w:rsidR="00061E89" w:rsidRPr="00734C60" w:rsidRDefault="00CD19BF">
            <w:pPr>
              <w:pStyle w:val="Footer"/>
              <w:jc w:val="right"/>
              <w:rPr>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19" w:rsidRDefault="00151619">
      <w:pPr>
        <w:spacing w:after="0" w:line="240" w:lineRule="auto"/>
      </w:pPr>
      <w:r>
        <w:separator/>
      </w:r>
    </w:p>
  </w:footnote>
  <w:footnote w:type="continuationSeparator" w:id="0">
    <w:p w:rsidR="00151619" w:rsidRDefault="0015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736"/>
    </w:tblGrid>
    <w:tr w:rsidR="00061E89" w:rsidTr="0045306D">
      <w:trPr>
        <w:trHeight w:val="267"/>
      </w:trPr>
      <w:tc>
        <w:tcPr>
          <w:tcW w:w="9736" w:type="dxa"/>
        </w:tcPr>
        <w:p w:rsidR="00061E89" w:rsidRDefault="00061E89" w:rsidP="004841E7">
          <w:pPr>
            <w:pStyle w:val="Header"/>
            <w:jc w:val="center"/>
          </w:pPr>
          <w:r>
            <w:t>Ключови индикатори за изпълнение на политиките и целеви стойности за периода 202</w:t>
          </w:r>
          <w:r w:rsidR="004841E7">
            <w:rPr>
              <w:lang w:val="en-US"/>
            </w:rPr>
            <w:t>2</w:t>
          </w:r>
          <w:r w:rsidR="004841E7">
            <w:t>-2024</w:t>
          </w:r>
          <w:r>
            <w:t xml:space="preserve"> г.</w:t>
          </w:r>
        </w:p>
      </w:tc>
    </w:tr>
  </w:tbl>
  <w:p w:rsidR="00061E89" w:rsidRDefault="00061E89" w:rsidP="001B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061E89" w:rsidTr="001B4D1D">
      <w:trPr>
        <w:trHeight w:val="1445"/>
      </w:trPr>
      <w:tc>
        <w:tcPr>
          <w:tcW w:w="1728" w:type="dxa"/>
        </w:tcPr>
        <w:p w:rsidR="00061E89" w:rsidRDefault="00061E89" w:rsidP="001B4D1D">
          <w:pPr>
            <w:jc w:val="center"/>
            <w:rPr>
              <w:b/>
              <w:lang w:val="en-US"/>
            </w:rPr>
          </w:pPr>
          <w:r>
            <w:rPr>
              <w:b/>
              <w:noProof/>
            </w:rPr>
            <w:drawing>
              <wp:anchor distT="0" distB="0" distL="114300" distR="114300" simplePos="0" relativeHeight="251660288" behindDoc="0" locked="0" layoutInCell="1" allowOverlap="1" wp14:anchorId="1D64C14F" wp14:editId="3D58A527">
                <wp:simplePos x="0" y="0"/>
                <wp:positionH relativeFrom="column">
                  <wp:posOffset>-1905</wp:posOffset>
                </wp:positionH>
                <wp:positionV relativeFrom="paragraph">
                  <wp:posOffset>-34925</wp:posOffset>
                </wp:positionV>
                <wp:extent cx="1056960" cy="900000"/>
                <wp:effectExtent l="0" t="0" r="0" b="0"/>
                <wp:wrapNone/>
                <wp:docPr id="13" name="Picture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061E89" w:rsidRPr="00821983" w:rsidRDefault="00061E89" w:rsidP="001B4D1D">
          <w:pPr>
            <w:jc w:val="center"/>
            <w:rPr>
              <w:rFonts w:ascii="Times New Roman Bold" w:hAnsi="Times New Roman Bold"/>
              <w:b/>
              <w:lang w:val="en-US"/>
            </w:rPr>
          </w:pPr>
          <w:r w:rsidRPr="00821983">
            <w:rPr>
              <w:rFonts w:ascii="Times New Roman Bold" w:hAnsi="Times New Roman Bold"/>
              <w:b/>
            </w:rPr>
            <w:t>РЕПУБЛИКА БЪЛГАРИЯ</w:t>
          </w:r>
        </w:p>
        <w:p w:rsidR="00061E89" w:rsidRPr="00821983" w:rsidRDefault="00061E89" w:rsidP="001B4D1D">
          <w:pPr>
            <w:jc w:val="center"/>
            <w:rPr>
              <w:rFonts w:ascii="Times New Roman Bold" w:hAnsi="Times New Roman Bold"/>
              <w:b/>
              <w:lang w:val="en-US"/>
            </w:rPr>
          </w:pPr>
          <w:r w:rsidRPr="0037668F">
            <w:rPr>
              <w:rFonts w:ascii="Times New Roman Bold" w:hAnsi="Times New Roman Bold"/>
              <w:b/>
            </w:rPr>
            <w:t>Заместник-министър на регионалното развитие и благоустройството</w:t>
          </w:r>
        </w:p>
      </w:tc>
    </w:tr>
  </w:tbl>
  <w:p w:rsidR="00061E89" w:rsidRDefault="00061E89" w:rsidP="001B4D1D">
    <w:pP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0D8"/>
      </v:shape>
    </w:pict>
  </w:numPicBullet>
  <w:abstractNum w:abstractNumId="0" w15:restartNumberingAfterBreak="0">
    <w:nsid w:val="02A51402"/>
    <w:multiLevelType w:val="hybridMultilevel"/>
    <w:tmpl w:val="6FE8AE32"/>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047953"/>
    <w:multiLevelType w:val="hybridMultilevel"/>
    <w:tmpl w:val="9FAAC7B4"/>
    <w:lvl w:ilvl="0" w:tplc="C94E6B44">
      <w:start w:val="54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E24149"/>
    <w:multiLevelType w:val="hybridMultilevel"/>
    <w:tmpl w:val="A244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035D"/>
    <w:multiLevelType w:val="hybridMultilevel"/>
    <w:tmpl w:val="50DA338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BE0130"/>
    <w:multiLevelType w:val="hybridMultilevel"/>
    <w:tmpl w:val="9B9C4D0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E01E83"/>
    <w:multiLevelType w:val="hybridMultilevel"/>
    <w:tmpl w:val="8AB0F2B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58E5F67"/>
    <w:multiLevelType w:val="hybridMultilevel"/>
    <w:tmpl w:val="5246BC6E"/>
    <w:lvl w:ilvl="0" w:tplc="46046DF4">
      <w:start w:val="1"/>
      <w:numFmt w:val="decimal"/>
      <w:lvlText w:val="%1."/>
      <w:lvlJc w:val="left"/>
      <w:pPr>
        <w:ind w:left="928" w:hanging="360"/>
      </w:pPr>
      <w:rPr>
        <w:rFonts w:eastAsiaTheme="minorHAnsi" w:hint="default"/>
        <w:b w:val="0"/>
        <w:sz w:val="16"/>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 w15:restartNumberingAfterBreak="0">
    <w:nsid w:val="26A42B4A"/>
    <w:multiLevelType w:val="hybridMultilevel"/>
    <w:tmpl w:val="5F2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55D10"/>
    <w:multiLevelType w:val="hybridMultilevel"/>
    <w:tmpl w:val="2DDCD77C"/>
    <w:lvl w:ilvl="0" w:tplc="D5FA83BC">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CF31E92"/>
    <w:multiLevelType w:val="hybridMultilevel"/>
    <w:tmpl w:val="3424C2BA"/>
    <w:lvl w:ilvl="0" w:tplc="0EC63542">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32954513"/>
    <w:multiLevelType w:val="hybridMultilevel"/>
    <w:tmpl w:val="C7661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AA324D"/>
    <w:multiLevelType w:val="hybridMultilevel"/>
    <w:tmpl w:val="C32E3E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7655706"/>
    <w:multiLevelType w:val="hybridMultilevel"/>
    <w:tmpl w:val="C41AA56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38252314"/>
    <w:multiLevelType w:val="hybridMultilevel"/>
    <w:tmpl w:val="DD3CBFD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383B6240"/>
    <w:multiLevelType w:val="hybridMultilevel"/>
    <w:tmpl w:val="167878A4"/>
    <w:lvl w:ilvl="0" w:tplc="04020003">
      <w:start w:val="1"/>
      <w:numFmt w:val="bullet"/>
      <w:lvlText w:val="o"/>
      <w:lvlJc w:val="left"/>
      <w:pPr>
        <w:ind w:left="1222" w:hanging="360"/>
      </w:pPr>
      <w:rPr>
        <w:rFonts w:ascii="Courier New" w:hAnsi="Courier New" w:cs="Courier New" w:hint="default"/>
      </w:rPr>
    </w:lvl>
    <w:lvl w:ilvl="1" w:tplc="04020003" w:tentative="1">
      <w:start w:val="1"/>
      <w:numFmt w:val="bullet"/>
      <w:lvlText w:val="o"/>
      <w:lvlJc w:val="left"/>
      <w:pPr>
        <w:ind w:left="1942" w:hanging="360"/>
      </w:pPr>
      <w:rPr>
        <w:rFonts w:ascii="Courier New" w:hAnsi="Courier New" w:cs="Courier New" w:hint="default"/>
      </w:rPr>
    </w:lvl>
    <w:lvl w:ilvl="2" w:tplc="04020005" w:tentative="1">
      <w:start w:val="1"/>
      <w:numFmt w:val="bullet"/>
      <w:lvlText w:val=""/>
      <w:lvlJc w:val="left"/>
      <w:pPr>
        <w:ind w:left="2662" w:hanging="360"/>
      </w:pPr>
      <w:rPr>
        <w:rFonts w:ascii="Wingdings" w:hAnsi="Wingdings" w:hint="default"/>
      </w:rPr>
    </w:lvl>
    <w:lvl w:ilvl="3" w:tplc="04020001" w:tentative="1">
      <w:start w:val="1"/>
      <w:numFmt w:val="bullet"/>
      <w:lvlText w:val=""/>
      <w:lvlJc w:val="left"/>
      <w:pPr>
        <w:ind w:left="3382" w:hanging="360"/>
      </w:pPr>
      <w:rPr>
        <w:rFonts w:ascii="Symbol" w:hAnsi="Symbol" w:hint="default"/>
      </w:rPr>
    </w:lvl>
    <w:lvl w:ilvl="4" w:tplc="04020003" w:tentative="1">
      <w:start w:val="1"/>
      <w:numFmt w:val="bullet"/>
      <w:lvlText w:val="o"/>
      <w:lvlJc w:val="left"/>
      <w:pPr>
        <w:ind w:left="4102" w:hanging="360"/>
      </w:pPr>
      <w:rPr>
        <w:rFonts w:ascii="Courier New" w:hAnsi="Courier New" w:cs="Courier New" w:hint="default"/>
      </w:rPr>
    </w:lvl>
    <w:lvl w:ilvl="5" w:tplc="04020005" w:tentative="1">
      <w:start w:val="1"/>
      <w:numFmt w:val="bullet"/>
      <w:lvlText w:val=""/>
      <w:lvlJc w:val="left"/>
      <w:pPr>
        <w:ind w:left="4822" w:hanging="360"/>
      </w:pPr>
      <w:rPr>
        <w:rFonts w:ascii="Wingdings" w:hAnsi="Wingdings" w:hint="default"/>
      </w:rPr>
    </w:lvl>
    <w:lvl w:ilvl="6" w:tplc="04020001" w:tentative="1">
      <w:start w:val="1"/>
      <w:numFmt w:val="bullet"/>
      <w:lvlText w:val=""/>
      <w:lvlJc w:val="left"/>
      <w:pPr>
        <w:ind w:left="5542" w:hanging="360"/>
      </w:pPr>
      <w:rPr>
        <w:rFonts w:ascii="Symbol" w:hAnsi="Symbol" w:hint="default"/>
      </w:rPr>
    </w:lvl>
    <w:lvl w:ilvl="7" w:tplc="04020003" w:tentative="1">
      <w:start w:val="1"/>
      <w:numFmt w:val="bullet"/>
      <w:lvlText w:val="o"/>
      <w:lvlJc w:val="left"/>
      <w:pPr>
        <w:ind w:left="6262" w:hanging="360"/>
      </w:pPr>
      <w:rPr>
        <w:rFonts w:ascii="Courier New" w:hAnsi="Courier New" w:cs="Courier New" w:hint="default"/>
      </w:rPr>
    </w:lvl>
    <w:lvl w:ilvl="8" w:tplc="04020005" w:tentative="1">
      <w:start w:val="1"/>
      <w:numFmt w:val="bullet"/>
      <w:lvlText w:val=""/>
      <w:lvlJc w:val="left"/>
      <w:pPr>
        <w:ind w:left="6982" w:hanging="360"/>
      </w:pPr>
      <w:rPr>
        <w:rFonts w:ascii="Wingdings" w:hAnsi="Wingdings" w:hint="default"/>
      </w:rPr>
    </w:lvl>
  </w:abstractNum>
  <w:abstractNum w:abstractNumId="16"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5046A40"/>
    <w:multiLevelType w:val="hybridMultilevel"/>
    <w:tmpl w:val="08B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20C5"/>
    <w:multiLevelType w:val="hybridMultilevel"/>
    <w:tmpl w:val="C35671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7EC777E"/>
    <w:multiLevelType w:val="hybridMultilevel"/>
    <w:tmpl w:val="D67A868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0"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E6B3464"/>
    <w:multiLevelType w:val="hybridMultilevel"/>
    <w:tmpl w:val="3408762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15862DF"/>
    <w:multiLevelType w:val="hybridMultilevel"/>
    <w:tmpl w:val="D1D8C1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3F066F3"/>
    <w:multiLevelType w:val="hybridMultilevel"/>
    <w:tmpl w:val="4B5C9660"/>
    <w:lvl w:ilvl="0" w:tplc="04020001">
      <w:start w:val="1"/>
      <w:numFmt w:val="bullet"/>
      <w:lvlText w:val=""/>
      <w:lvlJc w:val="left"/>
      <w:pPr>
        <w:ind w:left="360" w:hanging="360"/>
      </w:pPr>
      <w:rPr>
        <w:rFonts w:ascii="Symbol" w:hAnsi="Symbol"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6" w15:restartNumberingAfterBreak="0">
    <w:nsid w:val="54D11C98"/>
    <w:multiLevelType w:val="hybridMultilevel"/>
    <w:tmpl w:val="2E74A1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AB47DE1"/>
    <w:multiLevelType w:val="hybridMultilevel"/>
    <w:tmpl w:val="44FA7D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F8116B0"/>
    <w:multiLevelType w:val="hybridMultilevel"/>
    <w:tmpl w:val="654ECC86"/>
    <w:lvl w:ilvl="0" w:tplc="04020001">
      <w:start w:val="1"/>
      <w:numFmt w:val="bullet"/>
      <w:lvlText w:val=""/>
      <w:lvlJc w:val="left"/>
      <w:pPr>
        <w:ind w:left="360" w:hanging="360"/>
      </w:pPr>
      <w:rPr>
        <w:rFonts w:ascii="Symbol" w:hAnsi="Symbol"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9" w15:restartNumberingAfterBreak="0">
    <w:nsid w:val="631B56BB"/>
    <w:multiLevelType w:val="hybridMultilevel"/>
    <w:tmpl w:val="085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B079A"/>
    <w:multiLevelType w:val="hybridMultilevel"/>
    <w:tmpl w:val="C84CA704"/>
    <w:lvl w:ilvl="0" w:tplc="04020001">
      <w:start w:val="1"/>
      <w:numFmt w:val="bullet"/>
      <w:lvlText w:val=""/>
      <w:lvlJc w:val="left"/>
      <w:pPr>
        <w:ind w:left="502"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F475052"/>
    <w:multiLevelType w:val="hybridMultilevel"/>
    <w:tmpl w:val="232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D5B30"/>
    <w:multiLevelType w:val="hybridMultilevel"/>
    <w:tmpl w:val="10B8A000"/>
    <w:lvl w:ilvl="0" w:tplc="04020007">
      <w:start w:val="1"/>
      <w:numFmt w:val="bullet"/>
      <w:lvlText w:val=""/>
      <w:lvlPicBulletId w:val="0"/>
      <w:lvlJc w:val="left"/>
      <w:pPr>
        <w:ind w:left="1372" w:hanging="360"/>
      </w:pPr>
      <w:rPr>
        <w:rFonts w:ascii="Symbol" w:hAnsi="Symbol" w:hint="default"/>
      </w:rPr>
    </w:lvl>
    <w:lvl w:ilvl="1" w:tplc="04020003" w:tentative="1">
      <w:start w:val="1"/>
      <w:numFmt w:val="bullet"/>
      <w:lvlText w:val="o"/>
      <w:lvlJc w:val="left"/>
      <w:pPr>
        <w:ind w:left="2092" w:hanging="360"/>
      </w:pPr>
      <w:rPr>
        <w:rFonts w:ascii="Courier New" w:hAnsi="Courier New" w:cs="Courier New" w:hint="default"/>
      </w:rPr>
    </w:lvl>
    <w:lvl w:ilvl="2" w:tplc="04020005" w:tentative="1">
      <w:start w:val="1"/>
      <w:numFmt w:val="bullet"/>
      <w:lvlText w:val=""/>
      <w:lvlJc w:val="left"/>
      <w:pPr>
        <w:ind w:left="2812" w:hanging="360"/>
      </w:pPr>
      <w:rPr>
        <w:rFonts w:ascii="Wingdings" w:hAnsi="Wingdings" w:hint="default"/>
      </w:rPr>
    </w:lvl>
    <w:lvl w:ilvl="3" w:tplc="04020001" w:tentative="1">
      <w:start w:val="1"/>
      <w:numFmt w:val="bullet"/>
      <w:lvlText w:val=""/>
      <w:lvlJc w:val="left"/>
      <w:pPr>
        <w:ind w:left="3532" w:hanging="360"/>
      </w:pPr>
      <w:rPr>
        <w:rFonts w:ascii="Symbol" w:hAnsi="Symbol" w:hint="default"/>
      </w:rPr>
    </w:lvl>
    <w:lvl w:ilvl="4" w:tplc="04020003" w:tentative="1">
      <w:start w:val="1"/>
      <w:numFmt w:val="bullet"/>
      <w:lvlText w:val="o"/>
      <w:lvlJc w:val="left"/>
      <w:pPr>
        <w:ind w:left="4252" w:hanging="360"/>
      </w:pPr>
      <w:rPr>
        <w:rFonts w:ascii="Courier New" w:hAnsi="Courier New" w:cs="Courier New" w:hint="default"/>
      </w:rPr>
    </w:lvl>
    <w:lvl w:ilvl="5" w:tplc="04020005" w:tentative="1">
      <w:start w:val="1"/>
      <w:numFmt w:val="bullet"/>
      <w:lvlText w:val=""/>
      <w:lvlJc w:val="left"/>
      <w:pPr>
        <w:ind w:left="4972" w:hanging="360"/>
      </w:pPr>
      <w:rPr>
        <w:rFonts w:ascii="Wingdings" w:hAnsi="Wingdings" w:hint="default"/>
      </w:rPr>
    </w:lvl>
    <w:lvl w:ilvl="6" w:tplc="04020001" w:tentative="1">
      <w:start w:val="1"/>
      <w:numFmt w:val="bullet"/>
      <w:lvlText w:val=""/>
      <w:lvlJc w:val="left"/>
      <w:pPr>
        <w:ind w:left="5692" w:hanging="360"/>
      </w:pPr>
      <w:rPr>
        <w:rFonts w:ascii="Symbol" w:hAnsi="Symbol" w:hint="default"/>
      </w:rPr>
    </w:lvl>
    <w:lvl w:ilvl="7" w:tplc="04020003" w:tentative="1">
      <w:start w:val="1"/>
      <w:numFmt w:val="bullet"/>
      <w:lvlText w:val="o"/>
      <w:lvlJc w:val="left"/>
      <w:pPr>
        <w:ind w:left="6412" w:hanging="360"/>
      </w:pPr>
      <w:rPr>
        <w:rFonts w:ascii="Courier New" w:hAnsi="Courier New" w:cs="Courier New" w:hint="default"/>
      </w:rPr>
    </w:lvl>
    <w:lvl w:ilvl="8" w:tplc="04020005" w:tentative="1">
      <w:start w:val="1"/>
      <w:numFmt w:val="bullet"/>
      <w:lvlText w:val=""/>
      <w:lvlJc w:val="left"/>
      <w:pPr>
        <w:ind w:left="7132" w:hanging="360"/>
      </w:pPr>
      <w:rPr>
        <w:rFonts w:ascii="Wingdings" w:hAnsi="Wingdings" w:hint="default"/>
      </w:rPr>
    </w:lvl>
  </w:abstractNum>
  <w:abstractNum w:abstractNumId="34" w15:restartNumberingAfterBreak="0">
    <w:nsid w:val="79ED59EF"/>
    <w:multiLevelType w:val="hybridMultilevel"/>
    <w:tmpl w:val="8F9E3ABC"/>
    <w:lvl w:ilvl="0" w:tplc="0402000F">
      <w:start w:val="5"/>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B176BA7"/>
    <w:multiLevelType w:val="hybridMultilevel"/>
    <w:tmpl w:val="7122818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6" w15:restartNumberingAfterBreak="0">
    <w:nsid w:val="7B1F1F6F"/>
    <w:multiLevelType w:val="hybridMultilevel"/>
    <w:tmpl w:val="BDFAC72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num w:numId="1">
    <w:abstractNumId w:val="30"/>
  </w:num>
  <w:num w:numId="2">
    <w:abstractNumId w:val="13"/>
  </w:num>
  <w:num w:numId="3">
    <w:abstractNumId w:val="10"/>
  </w:num>
  <w:num w:numId="4">
    <w:abstractNumId w:val="15"/>
  </w:num>
  <w:num w:numId="5">
    <w:abstractNumId w:val="23"/>
  </w:num>
  <w:num w:numId="6">
    <w:abstractNumId w:val="31"/>
  </w:num>
  <w:num w:numId="7">
    <w:abstractNumId w:val="4"/>
  </w:num>
  <w:num w:numId="8">
    <w:abstractNumId w:val="11"/>
  </w:num>
  <w:num w:numId="9">
    <w:abstractNumId w:val="0"/>
  </w:num>
  <w:num w:numId="10">
    <w:abstractNumId w:val="20"/>
  </w:num>
  <w:num w:numId="11">
    <w:abstractNumId w:val="33"/>
  </w:num>
  <w:num w:numId="12">
    <w:abstractNumId w:val="22"/>
  </w:num>
  <w:num w:numId="13">
    <w:abstractNumId w:val="32"/>
  </w:num>
  <w:num w:numId="14">
    <w:abstractNumId w:val="28"/>
  </w:num>
  <w:num w:numId="15">
    <w:abstractNumId w:val="25"/>
  </w:num>
  <w:num w:numId="16">
    <w:abstractNumId w:val="12"/>
  </w:num>
  <w:num w:numId="17">
    <w:abstractNumId w:val="24"/>
  </w:num>
  <w:num w:numId="18">
    <w:abstractNumId w:val="34"/>
  </w:num>
  <w:num w:numId="19">
    <w:abstractNumId w:val="7"/>
  </w:num>
  <w:num w:numId="20">
    <w:abstractNumId w:val="26"/>
  </w:num>
  <w:num w:numId="21">
    <w:abstractNumId w:val="5"/>
  </w:num>
  <w:num w:numId="22">
    <w:abstractNumId w:val="1"/>
  </w:num>
  <w:num w:numId="23">
    <w:abstractNumId w:val="16"/>
  </w:num>
  <w:num w:numId="24">
    <w:abstractNumId w:val="35"/>
  </w:num>
  <w:num w:numId="25">
    <w:abstractNumId w:val="3"/>
  </w:num>
  <w:num w:numId="26">
    <w:abstractNumId w:val="9"/>
  </w:num>
  <w:num w:numId="27">
    <w:abstractNumId w:val="17"/>
  </w:num>
  <w:num w:numId="28">
    <w:abstractNumId w:val="27"/>
  </w:num>
  <w:num w:numId="29">
    <w:abstractNumId w:val="36"/>
  </w:num>
  <w:num w:numId="30">
    <w:abstractNumId w:val="8"/>
  </w:num>
  <w:num w:numId="31">
    <w:abstractNumId w:val="6"/>
  </w:num>
  <w:num w:numId="32">
    <w:abstractNumId w:val="2"/>
  </w:num>
  <w:num w:numId="33">
    <w:abstractNumId w:val="29"/>
  </w:num>
  <w:num w:numId="34">
    <w:abstractNumId w:val="19"/>
  </w:num>
  <w:num w:numId="35">
    <w:abstractNumId w:val="14"/>
  </w:num>
  <w:num w:numId="36">
    <w:abstractNumId w:val="18"/>
  </w:num>
  <w:num w:numId="3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82"/>
    <w:rsid w:val="0000017C"/>
    <w:rsid w:val="0000105A"/>
    <w:rsid w:val="000021D3"/>
    <w:rsid w:val="0000405E"/>
    <w:rsid w:val="00012776"/>
    <w:rsid w:val="000139AD"/>
    <w:rsid w:val="000176A4"/>
    <w:rsid w:val="00023BA0"/>
    <w:rsid w:val="000240E0"/>
    <w:rsid w:val="0003035E"/>
    <w:rsid w:val="000304E0"/>
    <w:rsid w:val="00032557"/>
    <w:rsid w:val="000362D3"/>
    <w:rsid w:val="0004286F"/>
    <w:rsid w:val="00043F73"/>
    <w:rsid w:val="000452D1"/>
    <w:rsid w:val="000519CF"/>
    <w:rsid w:val="00052F47"/>
    <w:rsid w:val="00054103"/>
    <w:rsid w:val="00054F7D"/>
    <w:rsid w:val="00056D5B"/>
    <w:rsid w:val="000601FC"/>
    <w:rsid w:val="00061E89"/>
    <w:rsid w:val="00072343"/>
    <w:rsid w:val="00073B6F"/>
    <w:rsid w:val="00084057"/>
    <w:rsid w:val="0008441F"/>
    <w:rsid w:val="00085F97"/>
    <w:rsid w:val="00087238"/>
    <w:rsid w:val="00091C5B"/>
    <w:rsid w:val="00091D05"/>
    <w:rsid w:val="000965B9"/>
    <w:rsid w:val="000A65BC"/>
    <w:rsid w:val="000A695A"/>
    <w:rsid w:val="000A6ABF"/>
    <w:rsid w:val="000A7B90"/>
    <w:rsid w:val="000B033B"/>
    <w:rsid w:val="000B04B4"/>
    <w:rsid w:val="000B216F"/>
    <w:rsid w:val="000B4309"/>
    <w:rsid w:val="000B5B74"/>
    <w:rsid w:val="000C5353"/>
    <w:rsid w:val="000D33E0"/>
    <w:rsid w:val="000E01DC"/>
    <w:rsid w:val="000F2611"/>
    <w:rsid w:val="000F5744"/>
    <w:rsid w:val="0010146B"/>
    <w:rsid w:val="0010180A"/>
    <w:rsid w:val="0010661C"/>
    <w:rsid w:val="001100CA"/>
    <w:rsid w:val="00110D76"/>
    <w:rsid w:val="001126A5"/>
    <w:rsid w:val="0011393C"/>
    <w:rsid w:val="00116F65"/>
    <w:rsid w:val="001210D8"/>
    <w:rsid w:val="001221E4"/>
    <w:rsid w:val="00122B72"/>
    <w:rsid w:val="00123287"/>
    <w:rsid w:val="0013081C"/>
    <w:rsid w:val="00135D80"/>
    <w:rsid w:val="0014286A"/>
    <w:rsid w:val="00142E9A"/>
    <w:rsid w:val="001449AF"/>
    <w:rsid w:val="00150942"/>
    <w:rsid w:val="00151619"/>
    <w:rsid w:val="001548DD"/>
    <w:rsid w:val="00154F8C"/>
    <w:rsid w:val="0016112B"/>
    <w:rsid w:val="001614C7"/>
    <w:rsid w:val="00165269"/>
    <w:rsid w:val="00167260"/>
    <w:rsid w:val="00173F9F"/>
    <w:rsid w:val="0017720D"/>
    <w:rsid w:val="001838B5"/>
    <w:rsid w:val="00183BAD"/>
    <w:rsid w:val="001864D5"/>
    <w:rsid w:val="001932A7"/>
    <w:rsid w:val="00194D6F"/>
    <w:rsid w:val="001A0C3A"/>
    <w:rsid w:val="001A1D9E"/>
    <w:rsid w:val="001A53D6"/>
    <w:rsid w:val="001A6EE1"/>
    <w:rsid w:val="001A7F8A"/>
    <w:rsid w:val="001B36ED"/>
    <w:rsid w:val="001B3A55"/>
    <w:rsid w:val="001B4D1D"/>
    <w:rsid w:val="001B7376"/>
    <w:rsid w:val="001C0574"/>
    <w:rsid w:val="001C17B0"/>
    <w:rsid w:val="001C2298"/>
    <w:rsid w:val="001C4217"/>
    <w:rsid w:val="001C546C"/>
    <w:rsid w:val="001C5543"/>
    <w:rsid w:val="001D45BB"/>
    <w:rsid w:val="001E287C"/>
    <w:rsid w:val="001F3F83"/>
    <w:rsid w:val="002036B3"/>
    <w:rsid w:val="002073C0"/>
    <w:rsid w:val="00211B4A"/>
    <w:rsid w:val="00213E0F"/>
    <w:rsid w:val="00215460"/>
    <w:rsid w:val="00217637"/>
    <w:rsid w:val="002228B7"/>
    <w:rsid w:val="002230E4"/>
    <w:rsid w:val="00223EEC"/>
    <w:rsid w:val="00226A5E"/>
    <w:rsid w:val="0022795D"/>
    <w:rsid w:val="00230093"/>
    <w:rsid w:val="002321F7"/>
    <w:rsid w:val="00234D1E"/>
    <w:rsid w:val="00235BF0"/>
    <w:rsid w:val="00235FA0"/>
    <w:rsid w:val="002362A8"/>
    <w:rsid w:val="0023634C"/>
    <w:rsid w:val="00237363"/>
    <w:rsid w:val="00240246"/>
    <w:rsid w:val="00243D64"/>
    <w:rsid w:val="002454E4"/>
    <w:rsid w:val="00247832"/>
    <w:rsid w:val="0025034F"/>
    <w:rsid w:val="00251209"/>
    <w:rsid w:val="00253134"/>
    <w:rsid w:val="002532ED"/>
    <w:rsid w:val="0025354B"/>
    <w:rsid w:val="00253F51"/>
    <w:rsid w:val="00256452"/>
    <w:rsid w:val="0025647B"/>
    <w:rsid w:val="00267482"/>
    <w:rsid w:val="00271F21"/>
    <w:rsid w:val="00275C83"/>
    <w:rsid w:val="0027711B"/>
    <w:rsid w:val="00281129"/>
    <w:rsid w:val="002814EC"/>
    <w:rsid w:val="0028702A"/>
    <w:rsid w:val="00291B20"/>
    <w:rsid w:val="002A1E8D"/>
    <w:rsid w:val="002A4914"/>
    <w:rsid w:val="002A57F3"/>
    <w:rsid w:val="002A5BB3"/>
    <w:rsid w:val="002A65BD"/>
    <w:rsid w:val="002A6BCC"/>
    <w:rsid w:val="002B375C"/>
    <w:rsid w:val="002B649D"/>
    <w:rsid w:val="002B666B"/>
    <w:rsid w:val="002C083C"/>
    <w:rsid w:val="002C090F"/>
    <w:rsid w:val="002C26B9"/>
    <w:rsid w:val="002C3993"/>
    <w:rsid w:val="002C50EB"/>
    <w:rsid w:val="002C6B77"/>
    <w:rsid w:val="002E3173"/>
    <w:rsid w:val="002E5CE5"/>
    <w:rsid w:val="002E6C0D"/>
    <w:rsid w:val="002F026B"/>
    <w:rsid w:val="002F1A3A"/>
    <w:rsid w:val="002F2674"/>
    <w:rsid w:val="002F4DFE"/>
    <w:rsid w:val="00304095"/>
    <w:rsid w:val="0031263A"/>
    <w:rsid w:val="00322C98"/>
    <w:rsid w:val="003235E4"/>
    <w:rsid w:val="0032516B"/>
    <w:rsid w:val="00327028"/>
    <w:rsid w:val="003278D1"/>
    <w:rsid w:val="00333BE4"/>
    <w:rsid w:val="003359A7"/>
    <w:rsid w:val="00337F71"/>
    <w:rsid w:val="003434B8"/>
    <w:rsid w:val="003470CE"/>
    <w:rsid w:val="003540DC"/>
    <w:rsid w:val="0036749C"/>
    <w:rsid w:val="00367E8E"/>
    <w:rsid w:val="00374E8A"/>
    <w:rsid w:val="003750B4"/>
    <w:rsid w:val="00380C1C"/>
    <w:rsid w:val="00385262"/>
    <w:rsid w:val="003854B3"/>
    <w:rsid w:val="00391AC1"/>
    <w:rsid w:val="00392413"/>
    <w:rsid w:val="0039346F"/>
    <w:rsid w:val="00396D66"/>
    <w:rsid w:val="003A003C"/>
    <w:rsid w:val="003A06BE"/>
    <w:rsid w:val="003A3307"/>
    <w:rsid w:val="003A566D"/>
    <w:rsid w:val="003A6F6B"/>
    <w:rsid w:val="003B614C"/>
    <w:rsid w:val="003B672A"/>
    <w:rsid w:val="003C1CBE"/>
    <w:rsid w:val="003C3424"/>
    <w:rsid w:val="003C4E74"/>
    <w:rsid w:val="003C67A2"/>
    <w:rsid w:val="003E799B"/>
    <w:rsid w:val="003F0C75"/>
    <w:rsid w:val="003F0F7E"/>
    <w:rsid w:val="003F65D5"/>
    <w:rsid w:val="00401ED3"/>
    <w:rsid w:val="004020A7"/>
    <w:rsid w:val="00410488"/>
    <w:rsid w:val="00410F7A"/>
    <w:rsid w:val="00412925"/>
    <w:rsid w:val="00417326"/>
    <w:rsid w:val="004175FB"/>
    <w:rsid w:val="00422C07"/>
    <w:rsid w:val="00426BE5"/>
    <w:rsid w:val="00431CFE"/>
    <w:rsid w:val="00432A72"/>
    <w:rsid w:val="00433582"/>
    <w:rsid w:val="0043696F"/>
    <w:rsid w:val="0043795A"/>
    <w:rsid w:val="00442AB6"/>
    <w:rsid w:val="00452463"/>
    <w:rsid w:val="0045306D"/>
    <w:rsid w:val="004666F0"/>
    <w:rsid w:val="00470840"/>
    <w:rsid w:val="00470CFB"/>
    <w:rsid w:val="004718D8"/>
    <w:rsid w:val="0047537F"/>
    <w:rsid w:val="0048416C"/>
    <w:rsid w:val="004841E7"/>
    <w:rsid w:val="0048569E"/>
    <w:rsid w:val="00486511"/>
    <w:rsid w:val="00496E9C"/>
    <w:rsid w:val="004A39BD"/>
    <w:rsid w:val="004A3B66"/>
    <w:rsid w:val="004B03F3"/>
    <w:rsid w:val="004B1A61"/>
    <w:rsid w:val="004B6D3B"/>
    <w:rsid w:val="004C0A49"/>
    <w:rsid w:val="004C28A7"/>
    <w:rsid w:val="004C3F48"/>
    <w:rsid w:val="004C79EF"/>
    <w:rsid w:val="004D0B54"/>
    <w:rsid w:val="004D1DE4"/>
    <w:rsid w:val="004D4CC6"/>
    <w:rsid w:val="004D60F5"/>
    <w:rsid w:val="004D612E"/>
    <w:rsid w:val="004E09C0"/>
    <w:rsid w:val="004F0F49"/>
    <w:rsid w:val="004F1527"/>
    <w:rsid w:val="004F1803"/>
    <w:rsid w:val="0050131E"/>
    <w:rsid w:val="0050218A"/>
    <w:rsid w:val="00507E5A"/>
    <w:rsid w:val="00511F1F"/>
    <w:rsid w:val="005152CF"/>
    <w:rsid w:val="00515562"/>
    <w:rsid w:val="00515804"/>
    <w:rsid w:val="00516131"/>
    <w:rsid w:val="0051757E"/>
    <w:rsid w:val="00520BAA"/>
    <w:rsid w:val="00520CF7"/>
    <w:rsid w:val="00534522"/>
    <w:rsid w:val="005348E4"/>
    <w:rsid w:val="005356BF"/>
    <w:rsid w:val="00540593"/>
    <w:rsid w:val="00541088"/>
    <w:rsid w:val="00541A69"/>
    <w:rsid w:val="00544842"/>
    <w:rsid w:val="00556985"/>
    <w:rsid w:val="00561373"/>
    <w:rsid w:val="0056189E"/>
    <w:rsid w:val="00563903"/>
    <w:rsid w:val="005678F7"/>
    <w:rsid w:val="00574848"/>
    <w:rsid w:val="00575891"/>
    <w:rsid w:val="00580B6F"/>
    <w:rsid w:val="00582B01"/>
    <w:rsid w:val="0058533E"/>
    <w:rsid w:val="00591440"/>
    <w:rsid w:val="005940F7"/>
    <w:rsid w:val="005A568E"/>
    <w:rsid w:val="005A7148"/>
    <w:rsid w:val="005A7420"/>
    <w:rsid w:val="005B4591"/>
    <w:rsid w:val="005B78CE"/>
    <w:rsid w:val="005C0D8E"/>
    <w:rsid w:val="005C6563"/>
    <w:rsid w:val="005E266D"/>
    <w:rsid w:val="005E672A"/>
    <w:rsid w:val="005E678E"/>
    <w:rsid w:val="005F256E"/>
    <w:rsid w:val="005F4489"/>
    <w:rsid w:val="005F71C8"/>
    <w:rsid w:val="006019B3"/>
    <w:rsid w:val="006057D4"/>
    <w:rsid w:val="00606922"/>
    <w:rsid w:val="00621647"/>
    <w:rsid w:val="0062268B"/>
    <w:rsid w:val="006275FE"/>
    <w:rsid w:val="006300BD"/>
    <w:rsid w:val="00630F38"/>
    <w:rsid w:val="006320BD"/>
    <w:rsid w:val="00633C75"/>
    <w:rsid w:val="00636F1F"/>
    <w:rsid w:val="00637376"/>
    <w:rsid w:val="006400BF"/>
    <w:rsid w:val="0064198F"/>
    <w:rsid w:val="00642CF6"/>
    <w:rsid w:val="00643080"/>
    <w:rsid w:val="006461DC"/>
    <w:rsid w:val="00655B96"/>
    <w:rsid w:val="0066133F"/>
    <w:rsid w:val="0066565F"/>
    <w:rsid w:val="00665F8D"/>
    <w:rsid w:val="00666FFA"/>
    <w:rsid w:val="006757D0"/>
    <w:rsid w:val="00676E01"/>
    <w:rsid w:val="0068270F"/>
    <w:rsid w:val="00686C81"/>
    <w:rsid w:val="006872DB"/>
    <w:rsid w:val="006911D7"/>
    <w:rsid w:val="00691BA7"/>
    <w:rsid w:val="00691D8E"/>
    <w:rsid w:val="0069688F"/>
    <w:rsid w:val="00696C54"/>
    <w:rsid w:val="00697AB7"/>
    <w:rsid w:val="006A0201"/>
    <w:rsid w:val="006A4CE0"/>
    <w:rsid w:val="006A55FF"/>
    <w:rsid w:val="006A68BE"/>
    <w:rsid w:val="006B08CE"/>
    <w:rsid w:val="006B17DF"/>
    <w:rsid w:val="006B2804"/>
    <w:rsid w:val="006C3FFA"/>
    <w:rsid w:val="006D352C"/>
    <w:rsid w:val="006D4941"/>
    <w:rsid w:val="006D4DA8"/>
    <w:rsid w:val="006D63E0"/>
    <w:rsid w:val="006E150C"/>
    <w:rsid w:val="006E5BC5"/>
    <w:rsid w:val="006E607D"/>
    <w:rsid w:val="006F09B6"/>
    <w:rsid w:val="006F3B79"/>
    <w:rsid w:val="006F4BDD"/>
    <w:rsid w:val="006F7139"/>
    <w:rsid w:val="006F79B2"/>
    <w:rsid w:val="00702D11"/>
    <w:rsid w:val="00702E3C"/>
    <w:rsid w:val="007032C9"/>
    <w:rsid w:val="00703B68"/>
    <w:rsid w:val="00705F9D"/>
    <w:rsid w:val="007102E5"/>
    <w:rsid w:val="007107D7"/>
    <w:rsid w:val="00713003"/>
    <w:rsid w:val="00716487"/>
    <w:rsid w:val="00717240"/>
    <w:rsid w:val="00720BC5"/>
    <w:rsid w:val="00720FCD"/>
    <w:rsid w:val="007222CD"/>
    <w:rsid w:val="00726A4C"/>
    <w:rsid w:val="007316CA"/>
    <w:rsid w:val="00735775"/>
    <w:rsid w:val="00736C20"/>
    <w:rsid w:val="00740960"/>
    <w:rsid w:val="00743E7C"/>
    <w:rsid w:val="0074484C"/>
    <w:rsid w:val="00752964"/>
    <w:rsid w:val="00757B63"/>
    <w:rsid w:val="007619D6"/>
    <w:rsid w:val="00762471"/>
    <w:rsid w:val="007666F0"/>
    <w:rsid w:val="00766A3C"/>
    <w:rsid w:val="00766A55"/>
    <w:rsid w:val="00772995"/>
    <w:rsid w:val="00772DA4"/>
    <w:rsid w:val="007751B7"/>
    <w:rsid w:val="0077588B"/>
    <w:rsid w:val="0078010C"/>
    <w:rsid w:val="0078032C"/>
    <w:rsid w:val="00785182"/>
    <w:rsid w:val="00785A9D"/>
    <w:rsid w:val="00787C2B"/>
    <w:rsid w:val="00790809"/>
    <w:rsid w:val="0079451B"/>
    <w:rsid w:val="007947E2"/>
    <w:rsid w:val="007A1827"/>
    <w:rsid w:val="007A4A59"/>
    <w:rsid w:val="007A5F51"/>
    <w:rsid w:val="007B0173"/>
    <w:rsid w:val="007B12F8"/>
    <w:rsid w:val="007B3AAF"/>
    <w:rsid w:val="007B5975"/>
    <w:rsid w:val="007C14BE"/>
    <w:rsid w:val="007C1983"/>
    <w:rsid w:val="007C628B"/>
    <w:rsid w:val="007C7654"/>
    <w:rsid w:val="007E31AC"/>
    <w:rsid w:val="007E3664"/>
    <w:rsid w:val="007E7EC9"/>
    <w:rsid w:val="007F25D7"/>
    <w:rsid w:val="007F30F9"/>
    <w:rsid w:val="007F558D"/>
    <w:rsid w:val="007F563F"/>
    <w:rsid w:val="007F7033"/>
    <w:rsid w:val="00804EF0"/>
    <w:rsid w:val="00810D8C"/>
    <w:rsid w:val="0081186C"/>
    <w:rsid w:val="00814FE7"/>
    <w:rsid w:val="008165A0"/>
    <w:rsid w:val="008230B7"/>
    <w:rsid w:val="00823C88"/>
    <w:rsid w:val="0084523E"/>
    <w:rsid w:val="008459A5"/>
    <w:rsid w:val="008460C6"/>
    <w:rsid w:val="00861974"/>
    <w:rsid w:val="0086280F"/>
    <w:rsid w:val="00873619"/>
    <w:rsid w:val="008742D1"/>
    <w:rsid w:val="00882FB1"/>
    <w:rsid w:val="00886C33"/>
    <w:rsid w:val="008877C0"/>
    <w:rsid w:val="008949EF"/>
    <w:rsid w:val="00895E80"/>
    <w:rsid w:val="008A3050"/>
    <w:rsid w:val="008A362A"/>
    <w:rsid w:val="008B07FF"/>
    <w:rsid w:val="008B56FC"/>
    <w:rsid w:val="008B5D46"/>
    <w:rsid w:val="008C4D1B"/>
    <w:rsid w:val="008C5E7F"/>
    <w:rsid w:val="008C6ACD"/>
    <w:rsid w:val="008D02A1"/>
    <w:rsid w:val="008E2A6F"/>
    <w:rsid w:val="008E3625"/>
    <w:rsid w:val="008E448A"/>
    <w:rsid w:val="008F0C43"/>
    <w:rsid w:val="008F3A39"/>
    <w:rsid w:val="008F592C"/>
    <w:rsid w:val="008F7036"/>
    <w:rsid w:val="00900B28"/>
    <w:rsid w:val="009032DF"/>
    <w:rsid w:val="009057FC"/>
    <w:rsid w:val="00912442"/>
    <w:rsid w:val="009175DB"/>
    <w:rsid w:val="00917925"/>
    <w:rsid w:val="0091796E"/>
    <w:rsid w:val="00917D80"/>
    <w:rsid w:val="00920492"/>
    <w:rsid w:val="00923F01"/>
    <w:rsid w:val="009260F9"/>
    <w:rsid w:val="009325B0"/>
    <w:rsid w:val="00940871"/>
    <w:rsid w:val="0094177E"/>
    <w:rsid w:val="009426EA"/>
    <w:rsid w:val="0094769F"/>
    <w:rsid w:val="0095391D"/>
    <w:rsid w:val="009545EE"/>
    <w:rsid w:val="00955B2D"/>
    <w:rsid w:val="00962072"/>
    <w:rsid w:val="00967552"/>
    <w:rsid w:val="0097003A"/>
    <w:rsid w:val="009754CB"/>
    <w:rsid w:val="009827DF"/>
    <w:rsid w:val="00982FAF"/>
    <w:rsid w:val="00983909"/>
    <w:rsid w:val="00983F3E"/>
    <w:rsid w:val="00993F0E"/>
    <w:rsid w:val="009A0A4F"/>
    <w:rsid w:val="009A1D78"/>
    <w:rsid w:val="009A642D"/>
    <w:rsid w:val="009A6903"/>
    <w:rsid w:val="009A7122"/>
    <w:rsid w:val="009B1FAA"/>
    <w:rsid w:val="009B4416"/>
    <w:rsid w:val="009B5E26"/>
    <w:rsid w:val="009C2C84"/>
    <w:rsid w:val="009C3F33"/>
    <w:rsid w:val="009C657E"/>
    <w:rsid w:val="009D0BE9"/>
    <w:rsid w:val="009D187E"/>
    <w:rsid w:val="009D6D90"/>
    <w:rsid w:val="009E2262"/>
    <w:rsid w:val="009E5993"/>
    <w:rsid w:val="009F0F90"/>
    <w:rsid w:val="009F1D3C"/>
    <w:rsid w:val="00A00E23"/>
    <w:rsid w:val="00A03EB7"/>
    <w:rsid w:val="00A03F28"/>
    <w:rsid w:val="00A0690D"/>
    <w:rsid w:val="00A0726A"/>
    <w:rsid w:val="00A07358"/>
    <w:rsid w:val="00A10F5E"/>
    <w:rsid w:val="00A140D4"/>
    <w:rsid w:val="00A20F9D"/>
    <w:rsid w:val="00A21989"/>
    <w:rsid w:val="00A224C6"/>
    <w:rsid w:val="00A22C5F"/>
    <w:rsid w:val="00A23208"/>
    <w:rsid w:val="00A34A1D"/>
    <w:rsid w:val="00A366D5"/>
    <w:rsid w:val="00A36D5C"/>
    <w:rsid w:val="00A40543"/>
    <w:rsid w:val="00A4090D"/>
    <w:rsid w:val="00A41536"/>
    <w:rsid w:val="00A5027A"/>
    <w:rsid w:val="00A51672"/>
    <w:rsid w:val="00A5340E"/>
    <w:rsid w:val="00A60F8C"/>
    <w:rsid w:val="00A63860"/>
    <w:rsid w:val="00A6392C"/>
    <w:rsid w:val="00A66925"/>
    <w:rsid w:val="00A76D9A"/>
    <w:rsid w:val="00A81DD4"/>
    <w:rsid w:val="00A831DC"/>
    <w:rsid w:val="00A841DE"/>
    <w:rsid w:val="00A87B5F"/>
    <w:rsid w:val="00A967E8"/>
    <w:rsid w:val="00A97FFD"/>
    <w:rsid w:val="00AA08F4"/>
    <w:rsid w:val="00AA44BB"/>
    <w:rsid w:val="00AA7769"/>
    <w:rsid w:val="00AB093E"/>
    <w:rsid w:val="00AB2A11"/>
    <w:rsid w:val="00AB41FA"/>
    <w:rsid w:val="00AB635F"/>
    <w:rsid w:val="00AC026D"/>
    <w:rsid w:val="00AC08AF"/>
    <w:rsid w:val="00AC173C"/>
    <w:rsid w:val="00AC1855"/>
    <w:rsid w:val="00AC3832"/>
    <w:rsid w:val="00AD005B"/>
    <w:rsid w:val="00AD395E"/>
    <w:rsid w:val="00AD39EC"/>
    <w:rsid w:val="00AD3BB2"/>
    <w:rsid w:val="00AD4CE7"/>
    <w:rsid w:val="00AD6F15"/>
    <w:rsid w:val="00AE0B4B"/>
    <w:rsid w:val="00AE1904"/>
    <w:rsid w:val="00AE1CE7"/>
    <w:rsid w:val="00AE32B6"/>
    <w:rsid w:val="00AF045C"/>
    <w:rsid w:val="00AF3D74"/>
    <w:rsid w:val="00AF6C03"/>
    <w:rsid w:val="00B001E1"/>
    <w:rsid w:val="00B00A03"/>
    <w:rsid w:val="00B049CB"/>
    <w:rsid w:val="00B06349"/>
    <w:rsid w:val="00B12946"/>
    <w:rsid w:val="00B170ED"/>
    <w:rsid w:val="00B1737C"/>
    <w:rsid w:val="00B20F7E"/>
    <w:rsid w:val="00B21DCE"/>
    <w:rsid w:val="00B27A7C"/>
    <w:rsid w:val="00B31BF7"/>
    <w:rsid w:val="00B36E04"/>
    <w:rsid w:val="00B445C0"/>
    <w:rsid w:val="00B45C3A"/>
    <w:rsid w:val="00B54FE4"/>
    <w:rsid w:val="00B56957"/>
    <w:rsid w:val="00B57C85"/>
    <w:rsid w:val="00B6166D"/>
    <w:rsid w:val="00B65D8C"/>
    <w:rsid w:val="00B708DD"/>
    <w:rsid w:val="00B7226A"/>
    <w:rsid w:val="00B753FD"/>
    <w:rsid w:val="00B75E54"/>
    <w:rsid w:val="00B76FD3"/>
    <w:rsid w:val="00B77C46"/>
    <w:rsid w:val="00B80BDF"/>
    <w:rsid w:val="00B80FC0"/>
    <w:rsid w:val="00B84556"/>
    <w:rsid w:val="00B84A54"/>
    <w:rsid w:val="00B922B7"/>
    <w:rsid w:val="00B9513D"/>
    <w:rsid w:val="00B97A2F"/>
    <w:rsid w:val="00BA0712"/>
    <w:rsid w:val="00BA1389"/>
    <w:rsid w:val="00BB3701"/>
    <w:rsid w:val="00BB4952"/>
    <w:rsid w:val="00BB728A"/>
    <w:rsid w:val="00BC2333"/>
    <w:rsid w:val="00BC270F"/>
    <w:rsid w:val="00BC71D6"/>
    <w:rsid w:val="00BD1ACE"/>
    <w:rsid w:val="00BD4DA0"/>
    <w:rsid w:val="00BD7693"/>
    <w:rsid w:val="00BD7EB3"/>
    <w:rsid w:val="00BF1D92"/>
    <w:rsid w:val="00BF5FDB"/>
    <w:rsid w:val="00C00BC4"/>
    <w:rsid w:val="00C01765"/>
    <w:rsid w:val="00C0197A"/>
    <w:rsid w:val="00C031A7"/>
    <w:rsid w:val="00C04715"/>
    <w:rsid w:val="00C04D02"/>
    <w:rsid w:val="00C109EA"/>
    <w:rsid w:val="00C15E44"/>
    <w:rsid w:val="00C203CA"/>
    <w:rsid w:val="00C2343F"/>
    <w:rsid w:val="00C26D37"/>
    <w:rsid w:val="00C30586"/>
    <w:rsid w:val="00C30B3E"/>
    <w:rsid w:val="00C30F44"/>
    <w:rsid w:val="00C3178A"/>
    <w:rsid w:val="00C32E0A"/>
    <w:rsid w:val="00C35316"/>
    <w:rsid w:val="00C37617"/>
    <w:rsid w:val="00C42BB4"/>
    <w:rsid w:val="00C460C8"/>
    <w:rsid w:val="00C50D8B"/>
    <w:rsid w:val="00C51227"/>
    <w:rsid w:val="00C52CC0"/>
    <w:rsid w:val="00C533B8"/>
    <w:rsid w:val="00C622A7"/>
    <w:rsid w:val="00C626ED"/>
    <w:rsid w:val="00C6293C"/>
    <w:rsid w:val="00C64266"/>
    <w:rsid w:val="00C70790"/>
    <w:rsid w:val="00C711CD"/>
    <w:rsid w:val="00C7298A"/>
    <w:rsid w:val="00C7643F"/>
    <w:rsid w:val="00C7687E"/>
    <w:rsid w:val="00C80F57"/>
    <w:rsid w:val="00C81A91"/>
    <w:rsid w:val="00C91432"/>
    <w:rsid w:val="00C917AB"/>
    <w:rsid w:val="00C91B19"/>
    <w:rsid w:val="00C94E82"/>
    <w:rsid w:val="00CA0561"/>
    <w:rsid w:val="00CA0A22"/>
    <w:rsid w:val="00CA18AD"/>
    <w:rsid w:val="00CA2B5A"/>
    <w:rsid w:val="00CA31EA"/>
    <w:rsid w:val="00CA59A3"/>
    <w:rsid w:val="00CA654D"/>
    <w:rsid w:val="00CB1305"/>
    <w:rsid w:val="00CB20BB"/>
    <w:rsid w:val="00CB2B49"/>
    <w:rsid w:val="00CC2385"/>
    <w:rsid w:val="00CC627F"/>
    <w:rsid w:val="00CC762A"/>
    <w:rsid w:val="00CD1398"/>
    <w:rsid w:val="00CD144D"/>
    <w:rsid w:val="00CD19BF"/>
    <w:rsid w:val="00CD34EA"/>
    <w:rsid w:val="00CD5956"/>
    <w:rsid w:val="00CE1340"/>
    <w:rsid w:val="00CE6D5B"/>
    <w:rsid w:val="00CF1FA2"/>
    <w:rsid w:val="00D000A3"/>
    <w:rsid w:val="00D028AB"/>
    <w:rsid w:val="00D15DF0"/>
    <w:rsid w:val="00D1605B"/>
    <w:rsid w:val="00D17425"/>
    <w:rsid w:val="00D217AD"/>
    <w:rsid w:val="00D25DEE"/>
    <w:rsid w:val="00D31492"/>
    <w:rsid w:val="00D32FFA"/>
    <w:rsid w:val="00D33374"/>
    <w:rsid w:val="00D35797"/>
    <w:rsid w:val="00D367E3"/>
    <w:rsid w:val="00D443FF"/>
    <w:rsid w:val="00D45C74"/>
    <w:rsid w:val="00D468E4"/>
    <w:rsid w:val="00D50170"/>
    <w:rsid w:val="00D5342F"/>
    <w:rsid w:val="00D545AA"/>
    <w:rsid w:val="00D550D4"/>
    <w:rsid w:val="00D6230D"/>
    <w:rsid w:val="00D712E6"/>
    <w:rsid w:val="00D7312D"/>
    <w:rsid w:val="00D77DD9"/>
    <w:rsid w:val="00D80E24"/>
    <w:rsid w:val="00D81B5F"/>
    <w:rsid w:val="00D829C7"/>
    <w:rsid w:val="00D862DB"/>
    <w:rsid w:val="00D87781"/>
    <w:rsid w:val="00D952B7"/>
    <w:rsid w:val="00D96AB9"/>
    <w:rsid w:val="00DA00F7"/>
    <w:rsid w:val="00DA0A1C"/>
    <w:rsid w:val="00DA1113"/>
    <w:rsid w:val="00DA2B83"/>
    <w:rsid w:val="00DA4EA5"/>
    <w:rsid w:val="00DB18C9"/>
    <w:rsid w:val="00DB4B39"/>
    <w:rsid w:val="00DC334E"/>
    <w:rsid w:val="00DC508E"/>
    <w:rsid w:val="00DC5153"/>
    <w:rsid w:val="00DC60D3"/>
    <w:rsid w:val="00DD2ABE"/>
    <w:rsid w:val="00DD41B0"/>
    <w:rsid w:val="00DD5C1B"/>
    <w:rsid w:val="00DE225F"/>
    <w:rsid w:val="00DE4E7C"/>
    <w:rsid w:val="00DE56E2"/>
    <w:rsid w:val="00DE58B4"/>
    <w:rsid w:val="00DE5A77"/>
    <w:rsid w:val="00DF26B8"/>
    <w:rsid w:val="00DF37DD"/>
    <w:rsid w:val="00DF3CEF"/>
    <w:rsid w:val="00DF5BDF"/>
    <w:rsid w:val="00E040C0"/>
    <w:rsid w:val="00E106CB"/>
    <w:rsid w:val="00E151DD"/>
    <w:rsid w:val="00E156ED"/>
    <w:rsid w:val="00E21187"/>
    <w:rsid w:val="00E23288"/>
    <w:rsid w:val="00E24D0A"/>
    <w:rsid w:val="00E2563B"/>
    <w:rsid w:val="00E276A3"/>
    <w:rsid w:val="00E37807"/>
    <w:rsid w:val="00E42DF3"/>
    <w:rsid w:val="00E463A7"/>
    <w:rsid w:val="00E46DE0"/>
    <w:rsid w:val="00E50F6E"/>
    <w:rsid w:val="00E54819"/>
    <w:rsid w:val="00E54C16"/>
    <w:rsid w:val="00E56402"/>
    <w:rsid w:val="00E56428"/>
    <w:rsid w:val="00E629DA"/>
    <w:rsid w:val="00E70290"/>
    <w:rsid w:val="00E7566B"/>
    <w:rsid w:val="00E856E6"/>
    <w:rsid w:val="00EB47F4"/>
    <w:rsid w:val="00EC4D24"/>
    <w:rsid w:val="00EC4D4E"/>
    <w:rsid w:val="00EC7471"/>
    <w:rsid w:val="00ED3C0F"/>
    <w:rsid w:val="00ED6FE2"/>
    <w:rsid w:val="00EE25A9"/>
    <w:rsid w:val="00EE5521"/>
    <w:rsid w:val="00EF2F47"/>
    <w:rsid w:val="00EF406A"/>
    <w:rsid w:val="00EF6357"/>
    <w:rsid w:val="00F00FDA"/>
    <w:rsid w:val="00F0213E"/>
    <w:rsid w:val="00F02908"/>
    <w:rsid w:val="00F059C4"/>
    <w:rsid w:val="00F05C20"/>
    <w:rsid w:val="00F11EA6"/>
    <w:rsid w:val="00F14F23"/>
    <w:rsid w:val="00F168CE"/>
    <w:rsid w:val="00F17BC4"/>
    <w:rsid w:val="00F22561"/>
    <w:rsid w:val="00F265BF"/>
    <w:rsid w:val="00F26E22"/>
    <w:rsid w:val="00F27A0B"/>
    <w:rsid w:val="00F41360"/>
    <w:rsid w:val="00F42F0B"/>
    <w:rsid w:val="00F613C4"/>
    <w:rsid w:val="00F63A3A"/>
    <w:rsid w:val="00F65808"/>
    <w:rsid w:val="00F67809"/>
    <w:rsid w:val="00F705CE"/>
    <w:rsid w:val="00F74A88"/>
    <w:rsid w:val="00F813E0"/>
    <w:rsid w:val="00F83BBB"/>
    <w:rsid w:val="00F904AE"/>
    <w:rsid w:val="00F95E2C"/>
    <w:rsid w:val="00FA1A9A"/>
    <w:rsid w:val="00FA2458"/>
    <w:rsid w:val="00FA2E33"/>
    <w:rsid w:val="00FA3139"/>
    <w:rsid w:val="00FA5525"/>
    <w:rsid w:val="00FA67F4"/>
    <w:rsid w:val="00FB0A29"/>
    <w:rsid w:val="00FB568B"/>
    <w:rsid w:val="00FB714C"/>
    <w:rsid w:val="00FC0A32"/>
    <w:rsid w:val="00FC2B76"/>
    <w:rsid w:val="00FC7614"/>
    <w:rsid w:val="00FE0B47"/>
    <w:rsid w:val="00FE1F12"/>
    <w:rsid w:val="00FE359A"/>
    <w:rsid w:val="00FE3897"/>
    <w:rsid w:val="00FE6955"/>
    <w:rsid w:val="00FF12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5A88"/>
  <w15:docId w15:val="{1C706B5D-8DB1-4838-ACC2-745977A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uiPriority w:val="99"/>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4D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F5"/>
    <w:rPr>
      <w:rFonts w:ascii="Tahoma" w:hAnsi="Tahoma" w:cs="Tahoma"/>
      <w:sz w:val="16"/>
      <w:szCs w:val="16"/>
    </w:rPr>
  </w:style>
  <w:style w:type="paragraph" w:styleId="Header">
    <w:name w:val="header"/>
    <w:basedOn w:val="Normal"/>
    <w:link w:val="HeaderChar"/>
    <w:uiPriority w:val="99"/>
    <w:unhideWhenUsed/>
    <w:rsid w:val="00DF5B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BDF"/>
  </w:style>
  <w:style w:type="paragraph" w:styleId="Footer">
    <w:name w:val="footer"/>
    <w:basedOn w:val="Normal"/>
    <w:link w:val="FooterChar"/>
    <w:uiPriority w:val="99"/>
    <w:rsid w:val="00DF5BDF"/>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DF5BDF"/>
    <w:rPr>
      <w:rFonts w:ascii="Times New Roman" w:eastAsia="Times New Roman" w:hAnsi="Times New Roman" w:cs="Times New Roman"/>
      <w:sz w:val="24"/>
      <w:szCs w:val="24"/>
      <w:lang w:eastAsia="bg-BG"/>
    </w:rPr>
  </w:style>
  <w:style w:type="table" w:styleId="TableGrid">
    <w:name w:val="Table Grid"/>
    <w:basedOn w:val="TableNormal"/>
    <w:uiPriority w:val="59"/>
    <w:rsid w:val="00DF5BD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75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5E54"/>
    <w:rPr>
      <w:rFonts w:ascii="Consolas" w:hAnsi="Consolas"/>
      <w:sz w:val="21"/>
      <w:szCs w:val="21"/>
    </w:rPr>
  </w:style>
  <w:style w:type="table" w:customStyle="1" w:styleId="TableGrid1">
    <w:name w:val="Table Grid1"/>
    <w:basedOn w:val="TableNormal"/>
    <w:next w:val="TableGrid"/>
    <w:uiPriority w:val="59"/>
    <w:rsid w:val="00B8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021D3"/>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uiPriority w:val="99"/>
    <w:unhideWhenUsed/>
    <w:rsid w:val="00AC3832"/>
    <w:pPr>
      <w:spacing w:before="120" w:after="120"/>
      <w:ind w:firstLine="360"/>
      <w:jc w:val="both"/>
    </w:pPr>
    <w:rPr>
      <w:rFonts w:ascii="Times New Roman" w:hAnsi="Times New Roman" w:cs="Times New Roman"/>
      <w:i/>
    </w:rPr>
  </w:style>
  <w:style w:type="character" w:customStyle="1" w:styleId="BodyTextIndentChar">
    <w:name w:val="Body Text Indent Char"/>
    <w:basedOn w:val="DefaultParagraphFont"/>
    <w:link w:val="BodyTextIndent"/>
    <w:uiPriority w:val="99"/>
    <w:rsid w:val="00AC3832"/>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176">
      <w:bodyDiv w:val="1"/>
      <w:marLeft w:val="0"/>
      <w:marRight w:val="0"/>
      <w:marTop w:val="0"/>
      <w:marBottom w:val="0"/>
      <w:divBdr>
        <w:top w:val="none" w:sz="0" w:space="0" w:color="auto"/>
        <w:left w:val="none" w:sz="0" w:space="0" w:color="auto"/>
        <w:bottom w:val="none" w:sz="0" w:space="0" w:color="auto"/>
        <w:right w:val="none" w:sz="0" w:space="0" w:color="auto"/>
      </w:divBdr>
    </w:div>
    <w:div w:id="188639234">
      <w:bodyDiv w:val="1"/>
      <w:marLeft w:val="0"/>
      <w:marRight w:val="0"/>
      <w:marTop w:val="0"/>
      <w:marBottom w:val="0"/>
      <w:divBdr>
        <w:top w:val="none" w:sz="0" w:space="0" w:color="auto"/>
        <w:left w:val="none" w:sz="0" w:space="0" w:color="auto"/>
        <w:bottom w:val="none" w:sz="0" w:space="0" w:color="auto"/>
        <w:right w:val="none" w:sz="0" w:space="0" w:color="auto"/>
      </w:divBdr>
    </w:div>
    <w:div w:id="190413203">
      <w:bodyDiv w:val="1"/>
      <w:marLeft w:val="0"/>
      <w:marRight w:val="0"/>
      <w:marTop w:val="0"/>
      <w:marBottom w:val="0"/>
      <w:divBdr>
        <w:top w:val="none" w:sz="0" w:space="0" w:color="auto"/>
        <w:left w:val="none" w:sz="0" w:space="0" w:color="auto"/>
        <w:bottom w:val="none" w:sz="0" w:space="0" w:color="auto"/>
        <w:right w:val="none" w:sz="0" w:space="0" w:color="auto"/>
      </w:divBdr>
    </w:div>
    <w:div w:id="200484046">
      <w:bodyDiv w:val="1"/>
      <w:marLeft w:val="0"/>
      <w:marRight w:val="0"/>
      <w:marTop w:val="0"/>
      <w:marBottom w:val="0"/>
      <w:divBdr>
        <w:top w:val="none" w:sz="0" w:space="0" w:color="auto"/>
        <w:left w:val="none" w:sz="0" w:space="0" w:color="auto"/>
        <w:bottom w:val="none" w:sz="0" w:space="0" w:color="auto"/>
        <w:right w:val="none" w:sz="0" w:space="0" w:color="auto"/>
      </w:divBdr>
    </w:div>
    <w:div w:id="208878257">
      <w:bodyDiv w:val="1"/>
      <w:marLeft w:val="0"/>
      <w:marRight w:val="0"/>
      <w:marTop w:val="0"/>
      <w:marBottom w:val="0"/>
      <w:divBdr>
        <w:top w:val="none" w:sz="0" w:space="0" w:color="auto"/>
        <w:left w:val="none" w:sz="0" w:space="0" w:color="auto"/>
        <w:bottom w:val="none" w:sz="0" w:space="0" w:color="auto"/>
        <w:right w:val="none" w:sz="0" w:space="0" w:color="auto"/>
      </w:divBdr>
    </w:div>
    <w:div w:id="294725001">
      <w:bodyDiv w:val="1"/>
      <w:marLeft w:val="0"/>
      <w:marRight w:val="0"/>
      <w:marTop w:val="0"/>
      <w:marBottom w:val="0"/>
      <w:divBdr>
        <w:top w:val="none" w:sz="0" w:space="0" w:color="auto"/>
        <w:left w:val="none" w:sz="0" w:space="0" w:color="auto"/>
        <w:bottom w:val="none" w:sz="0" w:space="0" w:color="auto"/>
        <w:right w:val="none" w:sz="0" w:space="0" w:color="auto"/>
      </w:divBdr>
    </w:div>
    <w:div w:id="331641744">
      <w:bodyDiv w:val="1"/>
      <w:marLeft w:val="0"/>
      <w:marRight w:val="0"/>
      <w:marTop w:val="0"/>
      <w:marBottom w:val="0"/>
      <w:divBdr>
        <w:top w:val="none" w:sz="0" w:space="0" w:color="auto"/>
        <w:left w:val="none" w:sz="0" w:space="0" w:color="auto"/>
        <w:bottom w:val="none" w:sz="0" w:space="0" w:color="auto"/>
        <w:right w:val="none" w:sz="0" w:space="0" w:color="auto"/>
      </w:divBdr>
    </w:div>
    <w:div w:id="417601320">
      <w:bodyDiv w:val="1"/>
      <w:marLeft w:val="0"/>
      <w:marRight w:val="0"/>
      <w:marTop w:val="0"/>
      <w:marBottom w:val="0"/>
      <w:divBdr>
        <w:top w:val="none" w:sz="0" w:space="0" w:color="auto"/>
        <w:left w:val="none" w:sz="0" w:space="0" w:color="auto"/>
        <w:bottom w:val="none" w:sz="0" w:space="0" w:color="auto"/>
        <w:right w:val="none" w:sz="0" w:space="0" w:color="auto"/>
      </w:divBdr>
    </w:div>
    <w:div w:id="622033206">
      <w:bodyDiv w:val="1"/>
      <w:marLeft w:val="0"/>
      <w:marRight w:val="0"/>
      <w:marTop w:val="0"/>
      <w:marBottom w:val="0"/>
      <w:divBdr>
        <w:top w:val="none" w:sz="0" w:space="0" w:color="auto"/>
        <w:left w:val="none" w:sz="0" w:space="0" w:color="auto"/>
        <w:bottom w:val="none" w:sz="0" w:space="0" w:color="auto"/>
        <w:right w:val="none" w:sz="0" w:space="0" w:color="auto"/>
      </w:divBdr>
    </w:div>
    <w:div w:id="690568611">
      <w:bodyDiv w:val="1"/>
      <w:marLeft w:val="0"/>
      <w:marRight w:val="0"/>
      <w:marTop w:val="0"/>
      <w:marBottom w:val="0"/>
      <w:divBdr>
        <w:top w:val="none" w:sz="0" w:space="0" w:color="auto"/>
        <w:left w:val="none" w:sz="0" w:space="0" w:color="auto"/>
        <w:bottom w:val="none" w:sz="0" w:space="0" w:color="auto"/>
        <w:right w:val="none" w:sz="0" w:space="0" w:color="auto"/>
      </w:divBdr>
    </w:div>
    <w:div w:id="742291303">
      <w:bodyDiv w:val="1"/>
      <w:marLeft w:val="0"/>
      <w:marRight w:val="0"/>
      <w:marTop w:val="0"/>
      <w:marBottom w:val="0"/>
      <w:divBdr>
        <w:top w:val="none" w:sz="0" w:space="0" w:color="auto"/>
        <w:left w:val="none" w:sz="0" w:space="0" w:color="auto"/>
        <w:bottom w:val="none" w:sz="0" w:space="0" w:color="auto"/>
        <w:right w:val="none" w:sz="0" w:space="0" w:color="auto"/>
      </w:divBdr>
    </w:div>
    <w:div w:id="769276440">
      <w:bodyDiv w:val="1"/>
      <w:marLeft w:val="0"/>
      <w:marRight w:val="0"/>
      <w:marTop w:val="0"/>
      <w:marBottom w:val="0"/>
      <w:divBdr>
        <w:top w:val="none" w:sz="0" w:space="0" w:color="auto"/>
        <w:left w:val="none" w:sz="0" w:space="0" w:color="auto"/>
        <w:bottom w:val="none" w:sz="0" w:space="0" w:color="auto"/>
        <w:right w:val="none" w:sz="0" w:space="0" w:color="auto"/>
      </w:divBdr>
    </w:div>
    <w:div w:id="786697271">
      <w:bodyDiv w:val="1"/>
      <w:marLeft w:val="0"/>
      <w:marRight w:val="0"/>
      <w:marTop w:val="0"/>
      <w:marBottom w:val="0"/>
      <w:divBdr>
        <w:top w:val="none" w:sz="0" w:space="0" w:color="auto"/>
        <w:left w:val="none" w:sz="0" w:space="0" w:color="auto"/>
        <w:bottom w:val="none" w:sz="0" w:space="0" w:color="auto"/>
        <w:right w:val="none" w:sz="0" w:space="0" w:color="auto"/>
      </w:divBdr>
    </w:div>
    <w:div w:id="789935607">
      <w:bodyDiv w:val="1"/>
      <w:marLeft w:val="0"/>
      <w:marRight w:val="0"/>
      <w:marTop w:val="0"/>
      <w:marBottom w:val="0"/>
      <w:divBdr>
        <w:top w:val="none" w:sz="0" w:space="0" w:color="auto"/>
        <w:left w:val="none" w:sz="0" w:space="0" w:color="auto"/>
        <w:bottom w:val="none" w:sz="0" w:space="0" w:color="auto"/>
        <w:right w:val="none" w:sz="0" w:space="0" w:color="auto"/>
      </w:divBdr>
    </w:div>
    <w:div w:id="932594011">
      <w:bodyDiv w:val="1"/>
      <w:marLeft w:val="0"/>
      <w:marRight w:val="0"/>
      <w:marTop w:val="0"/>
      <w:marBottom w:val="0"/>
      <w:divBdr>
        <w:top w:val="none" w:sz="0" w:space="0" w:color="auto"/>
        <w:left w:val="none" w:sz="0" w:space="0" w:color="auto"/>
        <w:bottom w:val="none" w:sz="0" w:space="0" w:color="auto"/>
        <w:right w:val="none" w:sz="0" w:space="0" w:color="auto"/>
      </w:divBdr>
    </w:div>
    <w:div w:id="1035496640">
      <w:bodyDiv w:val="1"/>
      <w:marLeft w:val="0"/>
      <w:marRight w:val="0"/>
      <w:marTop w:val="0"/>
      <w:marBottom w:val="0"/>
      <w:divBdr>
        <w:top w:val="none" w:sz="0" w:space="0" w:color="auto"/>
        <w:left w:val="none" w:sz="0" w:space="0" w:color="auto"/>
        <w:bottom w:val="none" w:sz="0" w:space="0" w:color="auto"/>
        <w:right w:val="none" w:sz="0" w:space="0" w:color="auto"/>
      </w:divBdr>
    </w:div>
    <w:div w:id="1230113844">
      <w:bodyDiv w:val="1"/>
      <w:marLeft w:val="0"/>
      <w:marRight w:val="0"/>
      <w:marTop w:val="0"/>
      <w:marBottom w:val="0"/>
      <w:divBdr>
        <w:top w:val="none" w:sz="0" w:space="0" w:color="auto"/>
        <w:left w:val="none" w:sz="0" w:space="0" w:color="auto"/>
        <w:bottom w:val="none" w:sz="0" w:space="0" w:color="auto"/>
        <w:right w:val="none" w:sz="0" w:space="0" w:color="auto"/>
      </w:divBdr>
    </w:div>
    <w:div w:id="1232275561">
      <w:bodyDiv w:val="1"/>
      <w:marLeft w:val="0"/>
      <w:marRight w:val="0"/>
      <w:marTop w:val="0"/>
      <w:marBottom w:val="0"/>
      <w:divBdr>
        <w:top w:val="none" w:sz="0" w:space="0" w:color="auto"/>
        <w:left w:val="none" w:sz="0" w:space="0" w:color="auto"/>
        <w:bottom w:val="none" w:sz="0" w:space="0" w:color="auto"/>
        <w:right w:val="none" w:sz="0" w:space="0" w:color="auto"/>
      </w:divBdr>
    </w:div>
    <w:div w:id="1238638464">
      <w:bodyDiv w:val="1"/>
      <w:marLeft w:val="0"/>
      <w:marRight w:val="0"/>
      <w:marTop w:val="0"/>
      <w:marBottom w:val="0"/>
      <w:divBdr>
        <w:top w:val="none" w:sz="0" w:space="0" w:color="auto"/>
        <w:left w:val="none" w:sz="0" w:space="0" w:color="auto"/>
        <w:bottom w:val="none" w:sz="0" w:space="0" w:color="auto"/>
        <w:right w:val="none" w:sz="0" w:space="0" w:color="auto"/>
      </w:divBdr>
    </w:div>
    <w:div w:id="1273395667">
      <w:bodyDiv w:val="1"/>
      <w:marLeft w:val="0"/>
      <w:marRight w:val="0"/>
      <w:marTop w:val="0"/>
      <w:marBottom w:val="0"/>
      <w:divBdr>
        <w:top w:val="none" w:sz="0" w:space="0" w:color="auto"/>
        <w:left w:val="none" w:sz="0" w:space="0" w:color="auto"/>
        <w:bottom w:val="none" w:sz="0" w:space="0" w:color="auto"/>
        <w:right w:val="none" w:sz="0" w:space="0" w:color="auto"/>
      </w:divBdr>
    </w:div>
    <w:div w:id="1312757669">
      <w:bodyDiv w:val="1"/>
      <w:marLeft w:val="0"/>
      <w:marRight w:val="0"/>
      <w:marTop w:val="0"/>
      <w:marBottom w:val="0"/>
      <w:divBdr>
        <w:top w:val="none" w:sz="0" w:space="0" w:color="auto"/>
        <w:left w:val="none" w:sz="0" w:space="0" w:color="auto"/>
        <w:bottom w:val="none" w:sz="0" w:space="0" w:color="auto"/>
        <w:right w:val="none" w:sz="0" w:space="0" w:color="auto"/>
      </w:divBdr>
    </w:div>
    <w:div w:id="1319117085">
      <w:bodyDiv w:val="1"/>
      <w:marLeft w:val="0"/>
      <w:marRight w:val="0"/>
      <w:marTop w:val="0"/>
      <w:marBottom w:val="0"/>
      <w:divBdr>
        <w:top w:val="none" w:sz="0" w:space="0" w:color="auto"/>
        <w:left w:val="none" w:sz="0" w:space="0" w:color="auto"/>
        <w:bottom w:val="none" w:sz="0" w:space="0" w:color="auto"/>
        <w:right w:val="none" w:sz="0" w:space="0" w:color="auto"/>
      </w:divBdr>
    </w:div>
    <w:div w:id="1401976562">
      <w:bodyDiv w:val="1"/>
      <w:marLeft w:val="0"/>
      <w:marRight w:val="0"/>
      <w:marTop w:val="0"/>
      <w:marBottom w:val="0"/>
      <w:divBdr>
        <w:top w:val="none" w:sz="0" w:space="0" w:color="auto"/>
        <w:left w:val="none" w:sz="0" w:space="0" w:color="auto"/>
        <w:bottom w:val="none" w:sz="0" w:space="0" w:color="auto"/>
        <w:right w:val="none" w:sz="0" w:space="0" w:color="auto"/>
      </w:divBdr>
    </w:div>
    <w:div w:id="1522281747">
      <w:bodyDiv w:val="1"/>
      <w:marLeft w:val="0"/>
      <w:marRight w:val="0"/>
      <w:marTop w:val="0"/>
      <w:marBottom w:val="0"/>
      <w:divBdr>
        <w:top w:val="none" w:sz="0" w:space="0" w:color="auto"/>
        <w:left w:val="none" w:sz="0" w:space="0" w:color="auto"/>
        <w:bottom w:val="none" w:sz="0" w:space="0" w:color="auto"/>
        <w:right w:val="none" w:sz="0" w:space="0" w:color="auto"/>
      </w:divBdr>
    </w:div>
    <w:div w:id="1570723610">
      <w:bodyDiv w:val="1"/>
      <w:marLeft w:val="0"/>
      <w:marRight w:val="0"/>
      <w:marTop w:val="0"/>
      <w:marBottom w:val="0"/>
      <w:divBdr>
        <w:top w:val="none" w:sz="0" w:space="0" w:color="auto"/>
        <w:left w:val="none" w:sz="0" w:space="0" w:color="auto"/>
        <w:bottom w:val="none" w:sz="0" w:space="0" w:color="auto"/>
        <w:right w:val="none" w:sz="0" w:space="0" w:color="auto"/>
      </w:divBdr>
    </w:div>
    <w:div w:id="1588880203">
      <w:bodyDiv w:val="1"/>
      <w:marLeft w:val="0"/>
      <w:marRight w:val="0"/>
      <w:marTop w:val="0"/>
      <w:marBottom w:val="0"/>
      <w:divBdr>
        <w:top w:val="none" w:sz="0" w:space="0" w:color="auto"/>
        <w:left w:val="none" w:sz="0" w:space="0" w:color="auto"/>
        <w:bottom w:val="none" w:sz="0" w:space="0" w:color="auto"/>
        <w:right w:val="none" w:sz="0" w:space="0" w:color="auto"/>
      </w:divBdr>
    </w:div>
    <w:div w:id="1680349070">
      <w:bodyDiv w:val="1"/>
      <w:marLeft w:val="0"/>
      <w:marRight w:val="0"/>
      <w:marTop w:val="0"/>
      <w:marBottom w:val="0"/>
      <w:divBdr>
        <w:top w:val="none" w:sz="0" w:space="0" w:color="auto"/>
        <w:left w:val="none" w:sz="0" w:space="0" w:color="auto"/>
        <w:bottom w:val="none" w:sz="0" w:space="0" w:color="auto"/>
        <w:right w:val="none" w:sz="0" w:space="0" w:color="auto"/>
      </w:divBdr>
    </w:div>
    <w:div w:id="1710181164">
      <w:bodyDiv w:val="1"/>
      <w:marLeft w:val="0"/>
      <w:marRight w:val="0"/>
      <w:marTop w:val="0"/>
      <w:marBottom w:val="0"/>
      <w:divBdr>
        <w:top w:val="none" w:sz="0" w:space="0" w:color="auto"/>
        <w:left w:val="none" w:sz="0" w:space="0" w:color="auto"/>
        <w:bottom w:val="none" w:sz="0" w:space="0" w:color="auto"/>
        <w:right w:val="none" w:sz="0" w:space="0" w:color="auto"/>
      </w:divBdr>
    </w:div>
    <w:div w:id="1823958193">
      <w:bodyDiv w:val="1"/>
      <w:marLeft w:val="0"/>
      <w:marRight w:val="0"/>
      <w:marTop w:val="0"/>
      <w:marBottom w:val="0"/>
      <w:divBdr>
        <w:top w:val="none" w:sz="0" w:space="0" w:color="auto"/>
        <w:left w:val="none" w:sz="0" w:space="0" w:color="auto"/>
        <w:bottom w:val="none" w:sz="0" w:space="0" w:color="auto"/>
        <w:right w:val="none" w:sz="0" w:space="0" w:color="auto"/>
      </w:divBdr>
    </w:div>
    <w:div w:id="1853756599">
      <w:bodyDiv w:val="1"/>
      <w:marLeft w:val="0"/>
      <w:marRight w:val="0"/>
      <w:marTop w:val="0"/>
      <w:marBottom w:val="0"/>
      <w:divBdr>
        <w:top w:val="none" w:sz="0" w:space="0" w:color="auto"/>
        <w:left w:val="none" w:sz="0" w:space="0" w:color="auto"/>
        <w:bottom w:val="none" w:sz="0" w:space="0" w:color="auto"/>
        <w:right w:val="none" w:sz="0" w:space="0" w:color="auto"/>
      </w:divBdr>
    </w:div>
    <w:div w:id="1877504486">
      <w:bodyDiv w:val="1"/>
      <w:marLeft w:val="0"/>
      <w:marRight w:val="0"/>
      <w:marTop w:val="0"/>
      <w:marBottom w:val="0"/>
      <w:divBdr>
        <w:top w:val="none" w:sz="0" w:space="0" w:color="auto"/>
        <w:left w:val="none" w:sz="0" w:space="0" w:color="auto"/>
        <w:bottom w:val="none" w:sz="0" w:space="0" w:color="auto"/>
        <w:right w:val="none" w:sz="0" w:space="0" w:color="auto"/>
      </w:divBdr>
    </w:div>
    <w:div w:id="2020037679">
      <w:bodyDiv w:val="1"/>
      <w:marLeft w:val="0"/>
      <w:marRight w:val="0"/>
      <w:marTop w:val="0"/>
      <w:marBottom w:val="0"/>
      <w:divBdr>
        <w:top w:val="none" w:sz="0" w:space="0" w:color="auto"/>
        <w:left w:val="none" w:sz="0" w:space="0" w:color="auto"/>
        <w:bottom w:val="none" w:sz="0" w:space="0" w:color="auto"/>
        <w:right w:val="none" w:sz="0" w:space="0" w:color="auto"/>
      </w:divBdr>
    </w:div>
    <w:div w:id="20543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K1iP3pA1cDHDEOqH3EAjBBsj1E2SEjfrC9q6mkdQ2BM=</DigestValue>
    </Reference>
    <Reference Type="http://www.w3.org/2000/09/xmldsig#Object" URI="#idOfficeObject">
      <DigestMethod Algorithm="http://www.w3.org/2001/04/xmlenc#sha256"/>
      <DigestValue>164VngygVvSZnAG+A4YCMVDMUy03p4oXaEdxAXg99AQ=</DigestValue>
    </Reference>
    <Reference Type="http://uri.etsi.org/01903#SignedProperties" URI="#idSignedProperties">
      <Transforms>
        <Transform Algorithm="http://www.w3.org/TR/2001/REC-xml-c14n-20010315"/>
      </Transforms>
      <DigestMethod Algorithm="http://www.w3.org/2001/04/xmlenc#sha256"/>
      <DigestValue>ddl4YaIucTgHQ+H/8F4JPhQx9w4EYP3nV0V+svc0yZg=</DigestValue>
    </Reference>
  </SignedInfo>
  <SignatureValue>Zev99+DAclqg+iYGA1x0IvwPfpT7WDdu31QonCRWs9s3/j0BLQmuDIARu31DTY9bb+FxbBHMElfa
RqXvjVHGxoPFn0fsGOALQ6n7N/rJvft4AuWuOm2VMmAST7qvcDatJcqd3Mddm3zCFM8sw5F6Yk73
60ABEySM/KUB05IoAP0GRI6KELsOXoK+QL84jddocnswz6v+SiWALBgB+FvwKDUOSJSq4TUQ6SFO
Hjk8bzXq5CxYEuPiF/l0CzOB+etT5kOWfWxyOHYOfwPtVwoGYFnRp9GbHYy5+XcSVZCrlntq9CvR
yKpjr5FylFFT8JsHF4II8chxy9x+ragmN87GGw==</SignatureValue>
  <KeyInfo>
    <X509Data>
      <X509Certificate>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7Qe97yefAR7pAReMjYVWh/g2o3wukLUbGM6r8bNNmGI=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p687Y56pp40se+bWU83zA8dz9Pmi+oHrcnJ795cFnm8=</DigestValue>
      </Reference>
      <Reference URI="/word/endnotes.xml?ContentType=application/vnd.openxmlformats-officedocument.wordprocessingml.endnotes+xml">
        <DigestMethod Algorithm="http://www.w3.org/2001/04/xmlenc#sha256"/>
        <DigestValue>kkLzPmPc99+uHaKeFYPfL7ST/tNjjnn/NZqaBcSDN68=</DigestValue>
      </Reference>
      <Reference URI="/word/fontTable.xml?ContentType=application/vnd.openxmlformats-officedocument.wordprocessingml.fontTable+xml">
        <DigestMethod Algorithm="http://www.w3.org/2001/04/xmlenc#sha256"/>
        <DigestValue>QLq6sTcuMy2IUZsuK/s/2K7djN2pxFYqpjtZCIX9KXk=</DigestValue>
      </Reference>
      <Reference URI="/word/footer1.xml?ContentType=application/vnd.openxmlformats-officedocument.wordprocessingml.footer+xml">
        <DigestMethod Algorithm="http://www.w3.org/2001/04/xmlenc#sha256"/>
        <DigestValue>0Ti1ASosj9YrOeZaTqKYXXQyw9oemweJjB4W8BLSbz8=</DigestValue>
      </Reference>
      <Reference URI="/word/footnotes.xml?ContentType=application/vnd.openxmlformats-officedocument.wordprocessingml.footnotes+xml">
        <DigestMethod Algorithm="http://www.w3.org/2001/04/xmlenc#sha256"/>
        <DigestValue>cH7dtOHBa0rsFypBBWKhmJrGh/wYsL0/Y+MilhicisA=</DigestValue>
      </Reference>
      <Reference URI="/word/header1.xml?ContentType=application/vnd.openxmlformats-officedocument.wordprocessingml.header+xml">
        <DigestMethod Algorithm="http://www.w3.org/2001/04/xmlenc#sha256"/>
        <DigestValue>oYVvbp2TMX0XvQuZzseLCGcAkxZR7T20JEVORuUsfZQ=</DigestValue>
      </Reference>
      <Reference URI="/word/header2.xml?ContentType=application/vnd.openxmlformats-officedocument.wordprocessingml.header+xml">
        <DigestMethod Algorithm="http://www.w3.org/2001/04/xmlenc#sha256"/>
        <DigestValue>FQT0wPJ4SzXlwz1jhUym4WGRIfVWvfbzlxzw0HSqJvg=</DigestValue>
      </Reference>
      <Reference URI="/word/media/image1.gif?ContentType=image/gif">
        <DigestMethod Algorithm="http://www.w3.org/2001/04/xmlenc#sha256"/>
        <DigestValue>A5/nm3Tm09Vh4y1K9XDmynDba7Nxg5W+K/J4ueYBJ5o=</DigestValue>
      </Reference>
      <Reference URI="/word/media/image2.emf?ContentType=image/x-emf">
        <DigestMethod Algorithm="http://www.w3.org/2001/04/xmlenc#sha256"/>
        <DigestValue>FOmzsnka6l5h1Ht2yyFGGyFz/fsze+pVANzxUDIQQUc=</DigestValue>
      </Reference>
      <Reference URI="/word/numbering.xml?ContentType=application/vnd.openxmlformats-officedocument.wordprocessingml.numbering+xml">
        <DigestMethod Algorithm="http://www.w3.org/2001/04/xmlenc#sha256"/>
        <DigestValue>kwQB7upyKu1luOjPLup8EeYkgMjYRsMEI2HkGdKJGLs=</DigestValue>
      </Reference>
      <Reference URI="/word/settings.xml?ContentType=application/vnd.openxmlformats-officedocument.wordprocessingml.settings+xml">
        <DigestMethod Algorithm="http://www.w3.org/2001/04/xmlenc#sha256"/>
        <DigestValue>6hV/Iq6fybXLPlmsMUBW+tCO+YMXVmunNEH2ydP4fjs=</DigestValue>
      </Reference>
      <Reference URI="/word/styles.xml?ContentType=application/vnd.openxmlformats-officedocument.wordprocessingml.styles+xml">
        <DigestMethod Algorithm="http://www.w3.org/2001/04/xmlenc#sha256"/>
        <DigestValue>YwX+c04DezokGKtJK7pFnOL9cAiyocVrTO+Z2gTi/HI=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JrRWff+sx75ugJJklc1FxcmYxNrb9grOThZDpf+W2dU=</DigestValue>
      </Reference>
    </Manifest>
    <SignatureProperties>
      <SignatureProperty Id="idSignatureTime" Target="#idPackageSignature">
        <mdssi:SignatureTime xmlns:mdssi="http://schemas.openxmlformats.org/package/2006/digital-signature">
          <mdssi:Format>YYYY-MM-DDThh:mm:ssTZD</mdssi:Format>
          <mdssi:Value>2021-10-25T13:50:11Z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2021-10-25T13:50:11Z</xd:SigningTime>
          <xd:SigningCertificate>
            <xd:Cert>
              <xd:CertDigest>
                <DigestMethod Algorithm="http://www.w3.org/2001/04/xmlenc#sha256"/>
                <DigestValue>snhAjXCJTjAK6GMORuqAqtW1gzbT7I8tziOXrsuxF5o=</DigestValue>
              </xd:CertDigest>
              <xd:IssuerSerial>
                <X509IssuerName>CN=B-Trust Operational Qualified CA, OU=B-Trust, O=BORICA AD, OID.2.5.4.97=NTRBG-201230426, C=BG</X509IssuerName>
                <X509SerialNumber>600139541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2C8C-F4E3-4763-BA6B-6D0892BE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12</Pages>
  <Words>6945</Words>
  <Characters>39588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MARIA KOSTOVA KOSTOVA</cp:lastModifiedBy>
  <cp:revision>1296</cp:revision>
  <cp:lastPrinted>2019-02-26T07:40:00Z</cp:lastPrinted>
  <dcterms:created xsi:type="dcterms:W3CDTF">2018-08-17T14:58:00Z</dcterms:created>
  <dcterms:modified xsi:type="dcterms:W3CDTF">2021-10-25T13:50:00Z</dcterms:modified>
</cp:coreProperties>
</file>